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B368C77">
      <w:pPr>
        <w:pStyle w:val="10"/>
        <w:spacing w:line="252" w:lineRule="auto"/>
      </w:pPr>
    </w:p>
    <w:p w14:paraId="05941D47">
      <w:pPr>
        <w:pStyle w:val="10"/>
        <w:spacing w:line="252" w:lineRule="auto"/>
      </w:pPr>
    </w:p>
    <w:p w14:paraId="2DE84B39">
      <w:pPr>
        <w:spacing w:before="143" w:line="291" w:lineRule="auto"/>
        <w:ind w:left="2191" w:right="2499" w:hanging="1070"/>
        <w:outlineLvl w:val="0"/>
        <w:rPr>
          <w:rFonts w:ascii="楷体" w:hAnsi="楷体" w:eastAsia="楷体" w:cs="楷体"/>
          <w:sz w:val="50"/>
          <w:szCs w:val="50"/>
        </w:rPr>
      </w:pPr>
      <w:r>
        <w:rPr>
          <w:rFonts w:ascii="楷体" w:hAnsi="楷体" w:eastAsia="楷体" w:cs="楷体"/>
          <w:b/>
          <w:bCs/>
          <w:spacing w:val="2"/>
          <w:sz w:val="44"/>
          <w:szCs w:val="44"/>
        </w:rPr>
        <w:t>霸州舜丰村镇银行股份有限公司</w:t>
      </w:r>
      <w:r>
        <w:rPr>
          <w:rFonts w:ascii="楷体" w:hAnsi="楷体" w:eastAsia="楷体" w:cs="楷体"/>
          <w:spacing w:val="10"/>
          <w:sz w:val="44"/>
          <w:szCs w:val="44"/>
        </w:rPr>
        <w:t xml:space="preserve"> </w:t>
      </w:r>
      <w:r>
        <w:rPr>
          <w:rFonts w:ascii="楷体" w:hAnsi="楷体" w:eastAsia="楷体" w:cs="楷体"/>
          <w:b/>
          <w:bCs/>
          <w:spacing w:val="-7"/>
          <w:sz w:val="50"/>
          <w:szCs w:val="50"/>
        </w:rPr>
        <w:t>2024年度审计报告</w:t>
      </w:r>
    </w:p>
    <w:p w14:paraId="24FC8C04">
      <w:pPr>
        <w:pStyle w:val="10"/>
        <w:spacing w:line="255" w:lineRule="auto"/>
      </w:pPr>
    </w:p>
    <w:p w14:paraId="076F1984">
      <w:pPr>
        <w:pStyle w:val="10"/>
        <w:spacing w:line="255" w:lineRule="auto"/>
      </w:pPr>
    </w:p>
    <w:p w14:paraId="3B7200AD">
      <w:pPr>
        <w:pStyle w:val="10"/>
        <w:spacing w:line="255" w:lineRule="auto"/>
      </w:pPr>
    </w:p>
    <w:p w14:paraId="5F497285">
      <w:pPr>
        <w:pStyle w:val="10"/>
        <w:spacing w:line="255" w:lineRule="auto"/>
      </w:pPr>
    </w:p>
    <w:p w14:paraId="5D7501AE">
      <w:pPr>
        <w:pStyle w:val="10"/>
        <w:spacing w:line="256" w:lineRule="auto"/>
      </w:pPr>
    </w:p>
    <w:p w14:paraId="4A1BDC74">
      <w:pPr>
        <w:pStyle w:val="10"/>
        <w:spacing w:line="256" w:lineRule="auto"/>
      </w:pPr>
    </w:p>
    <w:p w14:paraId="681A80F0">
      <w:pPr>
        <w:pStyle w:val="10"/>
        <w:spacing w:line="256" w:lineRule="auto"/>
      </w:pPr>
    </w:p>
    <w:p w14:paraId="7F776E4F">
      <w:pPr>
        <w:pStyle w:val="10"/>
        <w:spacing w:line="256" w:lineRule="auto"/>
      </w:pPr>
    </w:p>
    <w:p w14:paraId="2B28DB5C">
      <w:pPr>
        <w:pStyle w:val="10"/>
        <w:spacing w:line="256" w:lineRule="auto"/>
      </w:pPr>
    </w:p>
    <w:p w14:paraId="58362F7D">
      <w:pPr>
        <w:spacing w:line="2330" w:lineRule="exact"/>
        <w:ind w:firstLine="2474"/>
      </w:pPr>
      <w:r>
        <w:rPr>
          <w:position w:val="-46"/>
        </w:rPr>
        <w:drawing>
          <wp:inline distT="0" distB="0" distL="0" distR="0">
            <wp:extent cx="2178050" cy="1479550"/>
            <wp:effectExtent l="0" t="0" r="12700" b="635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3"/>
                    <a:stretch>
                      <a:fillRect/>
                    </a:stretch>
                  </pic:blipFill>
                  <pic:spPr>
                    <a:xfrm>
                      <a:off x="0" y="0"/>
                      <a:ext cx="2178085" cy="1479597"/>
                    </a:xfrm>
                    <a:prstGeom prst="rect">
                      <a:avLst/>
                    </a:prstGeom>
                  </pic:spPr>
                </pic:pic>
              </a:graphicData>
            </a:graphic>
          </wp:inline>
        </w:drawing>
      </w:r>
    </w:p>
    <w:p w14:paraId="51787695">
      <w:pPr>
        <w:pStyle w:val="10"/>
        <w:spacing w:line="262" w:lineRule="auto"/>
      </w:pPr>
    </w:p>
    <w:p w14:paraId="70618725">
      <w:pPr>
        <w:pStyle w:val="10"/>
        <w:spacing w:line="262" w:lineRule="auto"/>
      </w:pPr>
    </w:p>
    <w:p w14:paraId="0861065D">
      <w:pPr>
        <w:pStyle w:val="10"/>
        <w:spacing w:line="262" w:lineRule="auto"/>
      </w:pPr>
    </w:p>
    <w:p w14:paraId="302A1E3B">
      <w:pPr>
        <w:pStyle w:val="10"/>
        <w:spacing w:line="262" w:lineRule="auto"/>
      </w:pPr>
    </w:p>
    <w:p w14:paraId="5D6628F2">
      <w:pPr>
        <w:pStyle w:val="10"/>
        <w:spacing w:line="262" w:lineRule="auto"/>
      </w:pPr>
    </w:p>
    <w:p w14:paraId="023FECA8">
      <w:pPr>
        <w:pStyle w:val="10"/>
        <w:spacing w:line="262" w:lineRule="auto"/>
      </w:pPr>
    </w:p>
    <w:p w14:paraId="5E320F16">
      <w:pPr>
        <w:pStyle w:val="10"/>
        <w:spacing w:line="262" w:lineRule="auto"/>
      </w:pPr>
    </w:p>
    <w:p w14:paraId="1A8AD2C6">
      <w:pPr>
        <w:pStyle w:val="10"/>
        <w:spacing w:line="262" w:lineRule="auto"/>
      </w:pPr>
    </w:p>
    <w:p w14:paraId="1E797AB3">
      <w:pPr>
        <w:pStyle w:val="10"/>
        <w:spacing w:line="262" w:lineRule="auto"/>
      </w:pPr>
    </w:p>
    <w:p w14:paraId="3FD86706">
      <w:pPr>
        <w:pStyle w:val="10"/>
        <w:spacing w:line="262" w:lineRule="auto"/>
      </w:pPr>
    </w:p>
    <w:p w14:paraId="61EEB650">
      <w:pPr>
        <w:pStyle w:val="10"/>
        <w:spacing w:before="143" w:line="309" w:lineRule="auto"/>
        <w:ind w:left="1154" w:right="2021" w:hanging="703"/>
        <w:rPr>
          <w:color w:val="auto"/>
          <w:sz w:val="28"/>
          <w:szCs w:val="28"/>
        </w:rPr>
      </w:pPr>
      <w:r>
        <w:rPr>
          <w:rFonts w:ascii="楷体" w:hAnsi="楷体" w:eastAsia="楷体" w:cs="楷体"/>
          <w:b/>
          <w:bCs/>
          <w:color w:val="auto"/>
          <w:spacing w:val="17"/>
          <w:sz w:val="44"/>
          <w:szCs w:val="44"/>
        </w:rPr>
        <w:t>新联谊会计师事务所(特殊普通合伙)</w:t>
      </w:r>
      <w:r>
        <w:rPr>
          <w:rFonts w:ascii="楷体" w:hAnsi="楷体" w:eastAsia="楷体" w:cs="楷体"/>
          <w:color w:val="auto"/>
          <w:spacing w:val="3"/>
          <w:sz w:val="44"/>
          <w:szCs w:val="44"/>
        </w:rPr>
        <w:t xml:space="preserve"> </w:t>
      </w:r>
      <w:r>
        <w:rPr>
          <w:b/>
          <w:bCs/>
          <w:color w:val="auto"/>
          <w:spacing w:val="-2"/>
          <w:sz w:val="28"/>
          <w:szCs w:val="28"/>
        </w:rPr>
        <w:t>Xin  Lianyi  Certified  Public</w:t>
      </w:r>
      <w:r>
        <w:rPr>
          <w:b/>
          <w:bCs/>
          <w:color w:val="auto"/>
          <w:spacing w:val="78"/>
          <w:sz w:val="28"/>
          <w:szCs w:val="28"/>
        </w:rPr>
        <w:t xml:space="preserve"> </w:t>
      </w:r>
      <w:r>
        <w:rPr>
          <w:b/>
          <w:bCs/>
          <w:color w:val="auto"/>
          <w:spacing w:val="-2"/>
          <w:sz w:val="28"/>
          <w:szCs w:val="28"/>
        </w:rPr>
        <w:t>Accountants  LLP</w:t>
      </w:r>
    </w:p>
    <w:p w14:paraId="196D4398">
      <w:pPr>
        <w:pStyle w:val="10"/>
        <w:spacing w:line="245" w:lineRule="auto"/>
      </w:pPr>
    </w:p>
    <w:p w14:paraId="6291BDB8">
      <w:pPr>
        <w:pStyle w:val="10"/>
        <w:spacing w:line="245" w:lineRule="auto"/>
      </w:pPr>
    </w:p>
    <w:p w14:paraId="0DB2012E">
      <w:pPr>
        <w:pStyle w:val="10"/>
        <w:spacing w:line="245" w:lineRule="auto"/>
      </w:pPr>
    </w:p>
    <w:p w14:paraId="715C932F">
      <w:pPr>
        <w:pStyle w:val="10"/>
        <w:spacing w:line="245" w:lineRule="auto"/>
      </w:pPr>
    </w:p>
    <w:p w14:paraId="2076EDB9">
      <w:pPr>
        <w:pStyle w:val="10"/>
        <w:spacing w:line="245" w:lineRule="auto"/>
      </w:pPr>
    </w:p>
    <w:p w14:paraId="0985BA7A">
      <w:pPr>
        <w:pStyle w:val="10"/>
        <w:spacing w:line="245" w:lineRule="auto"/>
      </w:pPr>
    </w:p>
    <w:p w14:paraId="1F3803A1">
      <w:pPr>
        <w:pStyle w:val="10"/>
        <w:spacing w:line="245" w:lineRule="auto"/>
      </w:pPr>
    </w:p>
    <w:p w14:paraId="39757BB9">
      <w:pPr>
        <w:pStyle w:val="10"/>
        <w:spacing w:line="245" w:lineRule="auto"/>
      </w:pPr>
    </w:p>
    <w:p w14:paraId="37C196C7">
      <w:pPr>
        <w:pStyle w:val="10"/>
        <w:spacing w:line="245" w:lineRule="auto"/>
      </w:pPr>
    </w:p>
    <w:p w14:paraId="1A2C85D5">
      <w:pPr>
        <w:pStyle w:val="10"/>
        <w:spacing w:line="245" w:lineRule="auto"/>
      </w:pPr>
    </w:p>
    <w:p w14:paraId="67BE2545">
      <w:pPr>
        <w:pStyle w:val="10"/>
        <w:spacing w:line="245" w:lineRule="auto"/>
      </w:pPr>
    </w:p>
    <w:p w14:paraId="709C4BD1">
      <w:pPr>
        <w:spacing w:line="232" w:lineRule="auto"/>
        <w:rPr>
          <w:sz w:val="13"/>
          <w:szCs w:val="13"/>
        </w:rPr>
        <w:sectPr>
          <w:footerReference r:id="rId3" w:type="default"/>
          <w:pgSz w:w="11900" w:h="16820"/>
          <w:pgMar w:top="1429" w:right="230" w:bottom="1" w:left="1785" w:header="0" w:footer="0" w:gutter="0"/>
          <w:pgNumType w:fmt="decimal"/>
          <w:cols w:space="720" w:num="1"/>
        </w:sectPr>
      </w:pPr>
    </w:p>
    <w:p w14:paraId="65B19FCC">
      <w:pPr>
        <w:pStyle w:val="10"/>
        <w:spacing w:line="259" w:lineRule="auto"/>
      </w:pPr>
    </w:p>
    <w:p w14:paraId="097C1441">
      <w:pPr>
        <w:pStyle w:val="10"/>
        <w:spacing w:line="259" w:lineRule="auto"/>
      </w:pPr>
    </w:p>
    <w:p w14:paraId="7046097D">
      <w:pPr>
        <w:pStyle w:val="10"/>
        <w:spacing w:line="259" w:lineRule="auto"/>
      </w:pPr>
    </w:p>
    <w:p w14:paraId="45AB0EFB">
      <w:pPr>
        <w:pStyle w:val="10"/>
        <w:spacing w:line="259" w:lineRule="auto"/>
      </w:pPr>
    </w:p>
    <w:p w14:paraId="035B5DFF">
      <w:pPr>
        <w:pStyle w:val="10"/>
        <w:spacing w:line="260" w:lineRule="auto"/>
      </w:pPr>
    </w:p>
    <w:p w14:paraId="2E24340E">
      <w:pPr>
        <w:spacing w:before="98" w:line="221" w:lineRule="auto"/>
        <w:ind w:left="3199"/>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4"/>
          <w:sz w:val="30"/>
          <w:szCs w:val="30"/>
        </w:rPr>
        <w:t xml:space="preserve">          </w:t>
      </w:r>
      <w:r>
        <w:rPr>
          <w:rFonts w:ascii="宋体" w:hAnsi="宋体" w:eastAsia="宋体" w:cs="宋体"/>
          <w:b/>
          <w:bCs/>
          <w:spacing w:val="-38"/>
          <w:sz w:val="30"/>
          <w:szCs w:val="30"/>
        </w:rPr>
        <w:t>录</w:t>
      </w:r>
    </w:p>
    <w:p w14:paraId="3D861EB2">
      <w:pPr>
        <w:pStyle w:val="10"/>
        <w:spacing w:line="317" w:lineRule="auto"/>
      </w:pPr>
    </w:p>
    <w:p w14:paraId="64D1BCCE">
      <w:pPr>
        <w:pStyle w:val="10"/>
        <w:spacing w:line="317" w:lineRule="auto"/>
      </w:pPr>
      <w:r>
        <w:drawing>
          <wp:anchor distT="0" distB="0" distL="0" distR="0" simplePos="0" relativeHeight="251660288" behindDoc="0" locked="0" layoutInCell="1" allowOverlap="1">
            <wp:simplePos x="0" y="0"/>
            <wp:positionH relativeFrom="column">
              <wp:posOffset>27940</wp:posOffset>
            </wp:positionH>
            <wp:positionV relativeFrom="paragraph">
              <wp:posOffset>126365</wp:posOffset>
            </wp:positionV>
            <wp:extent cx="528320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5283203" cy="12710"/>
                    </a:xfrm>
                    <a:prstGeom prst="rect">
                      <a:avLst/>
                    </a:prstGeom>
                  </pic:spPr>
                </pic:pic>
              </a:graphicData>
            </a:graphic>
          </wp:anchor>
        </w:drawing>
      </w:r>
    </w:p>
    <w:p w14:paraId="42B6D3EF">
      <w:pPr>
        <w:pStyle w:val="10"/>
        <w:spacing w:line="318" w:lineRule="auto"/>
      </w:pPr>
    </w:p>
    <w:p w14:paraId="1303DE14">
      <w:pPr>
        <w:spacing w:before="78" w:line="218" w:lineRule="auto"/>
        <w:ind w:left="624"/>
        <w:rPr>
          <w:rFonts w:ascii="宋体" w:hAnsi="宋体" w:eastAsia="宋体" w:cs="宋体"/>
          <w:sz w:val="24"/>
          <w:szCs w:val="24"/>
        </w:rPr>
      </w:pPr>
      <w:r>
        <w:rPr>
          <w:rFonts w:ascii="宋体" w:hAnsi="宋体" w:eastAsia="宋体" w:cs="宋体"/>
          <w:spacing w:val="-7"/>
          <w:sz w:val="24"/>
          <w:szCs w:val="24"/>
        </w:rPr>
        <w:t>一</w:t>
      </w:r>
      <w:r>
        <w:rPr>
          <w:rFonts w:ascii="宋体" w:hAnsi="宋体" w:eastAsia="宋体" w:cs="宋体"/>
          <w:spacing w:val="-63"/>
          <w:sz w:val="24"/>
          <w:szCs w:val="24"/>
        </w:rPr>
        <w:t xml:space="preserve"> </w:t>
      </w:r>
      <w:r>
        <w:rPr>
          <w:rFonts w:ascii="宋体" w:hAnsi="宋体" w:eastAsia="宋体" w:cs="宋体"/>
          <w:spacing w:val="-7"/>
          <w:sz w:val="24"/>
          <w:szCs w:val="24"/>
        </w:rPr>
        <w:t>、审计报告</w:t>
      </w:r>
    </w:p>
    <w:p w14:paraId="371D72A4">
      <w:pPr>
        <w:pStyle w:val="10"/>
        <w:spacing w:line="445" w:lineRule="auto"/>
      </w:pPr>
    </w:p>
    <w:p w14:paraId="52818021">
      <w:pPr>
        <w:spacing w:before="78" w:line="218" w:lineRule="auto"/>
        <w:ind w:left="624"/>
        <w:rPr>
          <w:rFonts w:ascii="宋体" w:hAnsi="宋体" w:eastAsia="宋体" w:cs="宋体"/>
          <w:sz w:val="24"/>
          <w:szCs w:val="24"/>
        </w:rPr>
      </w:pPr>
      <w:r>
        <w:rPr>
          <w:rFonts w:ascii="宋体" w:hAnsi="宋体" w:eastAsia="宋体" w:cs="宋体"/>
          <w:spacing w:val="-5"/>
          <w:sz w:val="24"/>
          <w:szCs w:val="24"/>
        </w:rPr>
        <w:t>二</w:t>
      </w:r>
      <w:r>
        <w:rPr>
          <w:rFonts w:ascii="宋体" w:hAnsi="宋体" w:eastAsia="宋体" w:cs="宋体"/>
          <w:spacing w:val="-61"/>
          <w:sz w:val="24"/>
          <w:szCs w:val="24"/>
        </w:rPr>
        <w:t xml:space="preserve"> </w:t>
      </w:r>
      <w:r>
        <w:rPr>
          <w:rFonts w:ascii="宋体" w:hAnsi="宋体" w:eastAsia="宋体" w:cs="宋体"/>
          <w:spacing w:val="-5"/>
          <w:sz w:val="24"/>
          <w:szCs w:val="24"/>
        </w:rPr>
        <w:t>、审计报告附送</w:t>
      </w:r>
    </w:p>
    <w:p w14:paraId="03B58AF7">
      <w:pPr>
        <w:pStyle w:val="10"/>
        <w:spacing w:line="438" w:lineRule="auto"/>
      </w:pPr>
    </w:p>
    <w:p w14:paraId="45D935BF">
      <w:pPr>
        <w:spacing w:before="78" w:line="219" w:lineRule="auto"/>
        <w:ind w:left="865"/>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23"/>
          <w:sz w:val="24"/>
          <w:szCs w:val="24"/>
        </w:rPr>
        <w:t xml:space="preserve"> </w:t>
      </w:r>
      <w:r>
        <w:rPr>
          <w:rFonts w:ascii="宋体" w:hAnsi="宋体" w:eastAsia="宋体" w:cs="宋体"/>
          <w:spacing w:val="-1"/>
          <w:sz w:val="24"/>
          <w:szCs w:val="24"/>
        </w:rPr>
        <w:t>资产负债表</w:t>
      </w:r>
    </w:p>
    <w:p w14:paraId="5757EB07">
      <w:pPr>
        <w:pStyle w:val="10"/>
        <w:spacing w:line="415" w:lineRule="auto"/>
      </w:pPr>
    </w:p>
    <w:p w14:paraId="1658BD2D">
      <w:pPr>
        <w:spacing w:before="78" w:line="220" w:lineRule="auto"/>
        <w:ind w:left="865"/>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25"/>
          <w:sz w:val="24"/>
          <w:szCs w:val="24"/>
        </w:rPr>
        <w:t xml:space="preserve"> </w:t>
      </w:r>
      <w:r>
        <w:rPr>
          <w:rFonts w:ascii="宋体" w:hAnsi="宋体" w:eastAsia="宋体" w:cs="宋体"/>
          <w:spacing w:val="1"/>
          <w:sz w:val="24"/>
          <w:szCs w:val="24"/>
        </w:rPr>
        <w:t>利润表</w:t>
      </w:r>
    </w:p>
    <w:p w14:paraId="54875DB5">
      <w:pPr>
        <w:pStyle w:val="10"/>
        <w:spacing w:line="453" w:lineRule="auto"/>
      </w:pPr>
    </w:p>
    <w:p w14:paraId="45716BC1">
      <w:pPr>
        <w:spacing w:before="78" w:line="220" w:lineRule="auto"/>
        <w:ind w:left="865"/>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23"/>
          <w:sz w:val="24"/>
          <w:szCs w:val="24"/>
        </w:rPr>
        <w:t xml:space="preserve"> </w:t>
      </w:r>
      <w:r>
        <w:rPr>
          <w:rFonts w:ascii="宋体" w:hAnsi="宋体" w:eastAsia="宋体" w:cs="宋体"/>
          <w:spacing w:val="-1"/>
          <w:sz w:val="24"/>
          <w:szCs w:val="24"/>
        </w:rPr>
        <w:t>现金流量表</w:t>
      </w:r>
    </w:p>
    <w:p w14:paraId="2364E60F">
      <w:pPr>
        <w:pStyle w:val="10"/>
        <w:spacing w:line="432" w:lineRule="auto"/>
      </w:pPr>
    </w:p>
    <w:p w14:paraId="635C3190">
      <w:pPr>
        <w:spacing w:before="79" w:line="219" w:lineRule="auto"/>
        <w:ind w:left="865"/>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29"/>
          <w:sz w:val="24"/>
          <w:szCs w:val="24"/>
        </w:rPr>
        <w:t xml:space="preserve"> </w:t>
      </w:r>
      <w:r>
        <w:rPr>
          <w:rFonts w:ascii="宋体" w:hAnsi="宋体" w:eastAsia="宋体" w:cs="宋体"/>
          <w:spacing w:val="1"/>
          <w:sz w:val="24"/>
          <w:szCs w:val="24"/>
        </w:rPr>
        <w:t>股东权益变动表</w:t>
      </w:r>
    </w:p>
    <w:p w14:paraId="3591371D">
      <w:pPr>
        <w:pStyle w:val="10"/>
        <w:spacing w:line="432" w:lineRule="auto"/>
      </w:pPr>
    </w:p>
    <w:p w14:paraId="0AE3C33F">
      <w:pPr>
        <w:spacing w:before="79" w:line="219" w:lineRule="auto"/>
        <w:ind w:left="865"/>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26"/>
          <w:sz w:val="24"/>
          <w:szCs w:val="24"/>
        </w:rPr>
        <w:t xml:space="preserve"> </w:t>
      </w:r>
      <w:r>
        <w:rPr>
          <w:rFonts w:ascii="宋体" w:hAnsi="宋体" w:eastAsia="宋体" w:cs="宋体"/>
          <w:spacing w:val="1"/>
          <w:sz w:val="24"/>
          <w:szCs w:val="24"/>
        </w:rPr>
        <w:t>财务报表附注</w:t>
      </w:r>
    </w:p>
    <w:p w14:paraId="4B58443D">
      <w:pPr>
        <w:pStyle w:val="10"/>
        <w:spacing w:line="444" w:lineRule="auto"/>
      </w:pPr>
    </w:p>
    <w:p w14:paraId="14BF88FA">
      <w:pPr>
        <w:spacing w:before="78" w:line="218" w:lineRule="auto"/>
        <w:ind w:left="624"/>
        <w:rPr>
          <w:rFonts w:ascii="宋体" w:hAnsi="宋体" w:eastAsia="宋体" w:cs="宋体"/>
          <w:sz w:val="24"/>
          <w:szCs w:val="24"/>
        </w:rPr>
      </w:pPr>
      <w:r>
        <w:rPr>
          <w:rFonts w:ascii="宋体" w:hAnsi="宋体" w:eastAsia="宋体" w:cs="宋体"/>
          <w:spacing w:val="2"/>
          <w:sz w:val="24"/>
          <w:szCs w:val="24"/>
        </w:rPr>
        <w:t>三、审计报告附件</w:t>
      </w:r>
    </w:p>
    <w:p w14:paraId="169D0801">
      <w:pPr>
        <w:pStyle w:val="10"/>
        <w:spacing w:line="277" w:lineRule="auto"/>
      </w:pPr>
    </w:p>
    <w:p w14:paraId="2695646C">
      <w:pPr>
        <w:spacing w:before="78" w:line="219" w:lineRule="auto"/>
        <w:ind w:left="815"/>
        <w:rPr>
          <w:rFonts w:ascii="宋体" w:hAnsi="宋体" w:eastAsia="宋体" w:cs="宋体"/>
          <w:sz w:val="24"/>
          <w:szCs w:val="24"/>
        </w:rPr>
      </w:pPr>
      <w:r>
        <w:rPr>
          <w:rFonts w:ascii="宋体" w:hAnsi="宋体" w:eastAsia="宋体" w:cs="宋体"/>
          <w:spacing w:val="7"/>
          <w:sz w:val="24"/>
          <w:szCs w:val="24"/>
        </w:rPr>
        <w:t>1. 新联谊会计师事务所(特殊普通合伙)营业执照复印件</w:t>
      </w:r>
    </w:p>
    <w:p w14:paraId="6F5A15E7">
      <w:pPr>
        <w:pStyle w:val="10"/>
        <w:spacing w:line="255" w:lineRule="auto"/>
      </w:pPr>
    </w:p>
    <w:p w14:paraId="4F98D3F9">
      <w:pPr>
        <w:spacing w:before="79" w:line="219" w:lineRule="auto"/>
        <w:ind w:left="815"/>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15"/>
          <w:sz w:val="24"/>
          <w:szCs w:val="24"/>
        </w:rPr>
        <w:t xml:space="preserve"> </w:t>
      </w:r>
      <w:r>
        <w:rPr>
          <w:rFonts w:ascii="宋体" w:hAnsi="宋体" w:eastAsia="宋体" w:cs="宋体"/>
          <w:spacing w:val="9"/>
          <w:sz w:val="24"/>
          <w:szCs w:val="24"/>
        </w:rPr>
        <w:t>新联谊会计师事务所(特殊普通合伙)执业证书复印件</w:t>
      </w:r>
    </w:p>
    <w:p w14:paraId="3A157733">
      <w:pPr>
        <w:pStyle w:val="10"/>
        <w:spacing w:line="245" w:lineRule="auto"/>
      </w:pPr>
    </w:p>
    <w:p w14:paraId="15576CC7">
      <w:pPr>
        <w:spacing w:before="79" w:line="219" w:lineRule="auto"/>
        <w:ind w:left="81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2"/>
          <w:sz w:val="24"/>
          <w:szCs w:val="24"/>
        </w:rPr>
        <w:t xml:space="preserve"> </w:t>
      </w:r>
      <w:r>
        <w:rPr>
          <w:rFonts w:ascii="宋体" w:hAnsi="宋体" w:eastAsia="宋体" w:cs="宋体"/>
          <w:spacing w:val="-2"/>
          <w:sz w:val="24"/>
          <w:szCs w:val="24"/>
        </w:rPr>
        <w:t>注册会计师执业证书复印件</w:t>
      </w:r>
    </w:p>
    <w:p w14:paraId="6FD9A01F">
      <w:pPr>
        <w:spacing w:line="219" w:lineRule="auto"/>
        <w:rPr>
          <w:rFonts w:ascii="宋体" w:hAnsi="宋体" w:eastAsia="宋体" w:cs="宋体"/>
          <w:sz w:val="24"/>
          <w:szCs w:val="24"/>
        </w:rPr>
        <w:sectPr>
          <w:footerReference r:id="rId4" w:type="default"/>
          <w:pgSz w:w="11900" w:h="16820"/>
          <w:pgMar w:top="1429" w:right="260" w:bottom="1360" w:left="1785" w:header="0" w:footer="220" w:gutter="0"/>
          <w:pgNumType w:fmt="decimal"/>
          <w:cols w:space="720" w:num="1"/>
        </w:sectPr>
      </w:pPr>
    </w:p>
    <w:p w14:paraId="7223E484">
      <w:pPr>
        <w:spacing w:before="285" w:line="221" w:lineRule="auto"/>
        <w:ind w:left="2884"/>
        <w:rPr>
          <w:rFonts w:ascii="黑体" w:hAnsi="黑体" w:eastAsia="黑体" w:cs="黑体"/>
          <w:sz w:val="32"/>
          <w:szCs w:val="32"/>
        </w:rPr>
      </w:pPr>
      <w:r>
        <w:drawing>
          <wp:anchor distT="0" distB="0" distL="0" distR="0" simplePos="0" relativeHeight="251661312" behindDoc="0" locked="0" layoutInCell="0" allowOverlap="1">
            <wp:simplePos x="0" y="0"/>
            <wp:positionH relativeFrom="page">
              <wp:posOffset>755650</wp:posOffset>
            </wp:positionH>
            <wp:positionV relativeFrom="page">
              <wp:posOffset>806450</wp:posOffset>
            </wp:positionV>
            <wp:extent cx="1104900" cy="844550"/>
            <wp:effectExtent l="0" t="0" r="0" b="1270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1104911" cy="844522"/>
                    </a:xfrm>
                    <a:prstGeom prst="rect">
                      <a:avLst/>
                    </a:prstGeom>
                  </pic:spPr>
                </pic:pic>
              </a:graphicData>
            </a:graphic>
          </wp:anchor>
        </w:drawing>
      </w:r>
      <w:r>
        <w:rPr>
          <w:rFonts w:ascii="黑体" w:hAnsi="黑体" w:eastAsia="黑体" w:cs="黑体"/>
          <w:b/>
          <w:bCs/>
          <w:spacing w:val="15"/>
          <w:sz w:val="32"/>
          <w:szCs w:val="32"/>
        </w:rPr>
        <w:t>新联谊会计师事务所(特殊普通合伙)</w:t>
      </w:r>
    </w:p>
    <w:p w14:paraId="208311DB">
      <w:pPr>
        <w:spacing w:before="306" w:line="191" w:lineRule="auto"/>
        <w:ind w:left="2149"/>
        <w:rPr>
          <w:rFonts w:ascii="宋体" w:hAnsi="宋体" w:eastAsia="宋体" w:cs="宋体"/>
          <w:sz w:val="21"/>
          <w:szCs w:val="21"/>
        </w:rPr>
      </w:pPr>
      <w:r>
        <w:rPr>
          <w:rFonts w:ascii="宋体" w:hAnsi="宋体" w:eastAsia="宋体" w:cs="宋体"/>
          <w:spacing w:val="-12"/>
          <w:sz w:val="21"/>
          <w:szCs w:val="21"/>
        </w:rPr>
        <w:t>地址</w:t>
      </w:r>
      <w:r>
        <w:rPr>
          <w:rFonts w:ascii="宋体" w:hAnsi="宋体" w:eastAsia="宋体" w:cs="宋体"/>
          <w:spacing w:val="-34"/>
          <w:sz w:val="21"/>
          <w:szCs w:val="21"/>
        </w:rPr>
        <w:t xml:space="preserve"> </w:t>
      </w:r>
      <w:r>
        <w:rPr>
          <w:rFonts w:ascii="Times New Roman" w:hAnsi="Times New Roman" w:eastAsia="Times New Roman" w:cs="Times New Roman"/>
          <w:spacing w:val="-12"/>
          <w:sz w:val="21"/>
          <w:szCs w:val="21"/>
        </w:rPr>
        <w:t xml:space="preserve">(location):      </w:t>
      </w:r>
      <w:r>
        <w:rPr>
          <w:rFonts w:ascii="宋体" w:hAnsi="宋体" w:eastAsia="宋体" w:cs="宋体"/>
          <w:spacing w:val="-12"/>
          <w:sz w:val="21"/>
          <w:szCs w:val="21"/>
        </w:rPr>
        <w:t>山东省济南市槐荫</w:t>
      </w:r>
      <w:r>
        <w:rPr>
          <w:rFonts w:ascii="宋体" w:hAnsi="宋体" w:eastAsia="宋体" w:cs="宋体"/>
          <w:spacing w:val="-13"/>
          <w:sz w:val="21"/>
          <w:szCs w:val="21"/>
        </w:rPr>
        <w:t>区兴福寺街道腊山河西路济南报业大厦</w:t>
      </w:r>
      <w:r>
        <w:rPr>
          <w:rFonts w:ascii="Times New Roman" w:hAnsi="Times New Roman" w:eastAsia="Times New Roman" w:cs="Times New Roman"/>
          <w:spacing w:val="-13"/>
          <w:sz w:val="21"/>
          <w:szCs w:val="21"/>
        </w:rPr>
        <w:t>B</w:t>
      </w:r>
      <w:r>
        <w:rPr>
          <w:rFonts w:ascii="宋体" w:hAnsi="宋体" w:eastAsia="宋体" w:cs="宋体"/>
          <w:spacing w:val="-13"/>
          <w:sz w:val="21"/>
          <w:szCs w:val="21"/>
        </w:rPr>
        <w:t>座11层</w:t>
      </w:r>
    </w:p>
    <w:p w14:paraId="39B665A0">
      <w:pPr>
        <w:spacing w:line="205" w:lineRule="auto"/>
        <w:ind w:left="2159"/>
        <w:rPr>
          <w:rFonts w:ascii="Times New Roman" w:hAnsi="Times New Roman" w:eastAsia="Times New Roman" w:cs="Times New Roman"/>
          <w:spacing w:val="-1"/>
          <w:sz w:val="21"/>
          <w:szCs w:val="21"/>
        </w:rPr>
      </w:pPr>
      <w:r>
        <w:rPr>
          <w:rFonts w:ascii="宋体" w:hAnsi="宋体" w:eastAsia="宋体" w:cs="宋体"/>
          <w:spacing w:val="-1"/>
          <w:sz w:val="21"/>
          <w:szCs w:val="21"/>
        </w:rPr>
        <w:t>电</w:t>
      </w:r>
      <w:r>
        <w:rPr>
          <w:rFonts w:ascii="宋体" w:hAnsi="宋体" w:eastAsia="宋体" w:cs="宋体"/>
          <w:spacing w:val="-36"/>
          <w:sz w:val="21"/>
          <w:szCs w:val="21"/>
        </w:rPr>
        <w:t xml:space="preserve"> </w:t>
      </w:r>
      <w:r>
        <w:rPr>
          <w:rFonts w:ascii="宋体" w:hAnsi="宋体" w:eastAsia="宋体" w:cs="宋体"/>
          <w:spacing w:val="-1"/>
          <w:sz w:val="21"/>
          <w:szCs w:val="21"/>
        </w:rPr>
        <w:t>话</w:t>
      </w:r>
      <w:r>
        <w:rPr>
          <w:rFonts w:ascii="宋体" w:hAnsi="宋体" w:eastAsia="宋体" w:cs="宋体"/>
          <w:spacing w:val="67"/>
          <w:sz w:val="21"/>
          <w:szCs w:val="21"/>
        </w:rPr>
        <w:t xml:space="preserve"> </w:t>
      </w:r>
      <w:r>
        <w:rPr>
          <w:rFonts w:ascii="Times New Roman" w:hAnsi="Times New Roman" w:eastAsia="Times New Roman" w:cs="Times New Roman"/>
          <w:spacing w:val="-1"/>
          <w:sz w:val="21"/>
          <w:szCs w:val="21"/>
        </w:rPr>
        <w:t>(te1):</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0531-80995508                           13606363080</w:t>
      </w:r>
    </w:p>
    <w:p w14:paraId="4B3FA8E7">
      <w:pPr>
        <w:pStyle w:val="10"/>
        <w:spacing w:line="292" w:lineRule="auto"/>
      </w:pPr>
    </w:p>
    <w:p w14:paraId="5DE2814B">
      <w:pPr>
        <w:pStyle w:val="10"/>
        <w:spacing w:line="293" w:lineRule="auto"/>
      </w:pPr>
    </w:p>
    <w:p w14:paraId="1231D18E">
      <w:pPr>
        <w:pStyle w:val="10"/>
        <w:spacing w:line="293" w:lineRule="auto"/>
      </w:pPr>
    </w:p>
    <w:p w14:paraId="639A3703">
      <w:pPr>
        <w:pStyle w:val="10"/>
        <w:spacing w:line="293" w:lineRule="auto"/>
      </w:pPr>
    </w:p>
    <w:p w14:paraId="76B7E0E3">
      <w:pPr>
        <w:spacing w:before="104" w:line="222" w:lineRule="auto"/>
        <w:ind w:left="3964"/>
        <w:rPr>
          <w:rFonts w:ascii="黑体" w:hAnsi="黑体" w:eastAsia="黑体" w:cs="黑体"/>
          <w:sz w:val="32"/>
          <w:szCs w:val="32"/>
        </w:rPr>
      </w:pPr>
      <w:r>
        <w:rPr>
          <w:rFonts w:ascii="黑体" w:hAnsi="黑体" w:eastAsia="黑体" w:cs="黑体"/>
          <w:b/>
          <w:bCs/>
          <w:spacing w:val="-13"/>
          <w:sz w:val="32"/>
          <w:szCs w:val="32"/>
        </w:rPr>
        <w:t>审</w:t>
      </w:r>
      <w:r>
        <w:rPr>
          <w:rFonts w:ascii="黑体" w:hAnsi="黑体" w:eastAsia="黑体" w:cs="黑体"/>
          <w:spacing w:val="-13"/>
          <w:sz w:val="32"/>
          <w:szCs w:val="32"/>
        </w:rPr>
        <w:t xml:space="preserve"> </w:t>
      </w:r>
      <w:r>
        <w:rPr>
          <w:rFonts w:ascii="黑体" w:hAnsi="黑体" w:eastAsia="黑体" w:cs="黑体"/>
          <w:b/>
          <w:bCs/>
          <w:spacing w:val="-13"/>
          <w:sz w:val="32"/>
          <w:szCs w:val="32"/>
        </w:rPr>
        <w:t>计</w:t>
      </w:r>
      <w:r>
        <w:rPr>
          <w:rFonts w:ascii="黑体" w:hAnsi="黑体" w:eastAsia="黑体" w:cs="黑体"/>
          <w:spacing w:val="-11"/>
          <w:sz w:val="32"/>
          <w:szCs w:val="32"/>
        </w:rPr>
        <w:t xml:space="preserve"> </w:t>
      </w:r>
      <w:r>
        <w:rPr>
          <w:rFonts w:ascii="黑体" w:hAnsi="黑体" w:eastAsia="黑体" w:cs="黑体"/>
          <w:b/>
          <w:bCs/>
          <w:spacing w:val="-13"/>
          <w:sz w:val="32"/>
          <w:szCs w:val="32"/>
        </w:rPr>
        <w:t>报</w:t>
      </w:r>
      <w:r>
        <w:rPr>
          <w:rFonts w:ascii="黑体" w:hAnsi="黑体" w:eastAsia="黑体" w:cs="黑体"/>
          <w:spacing w:val="-13"/>
          <w:sz w:val="32"/>
          <w:szCs w:val="32"/>
        </w:rPr>
        <w:t xml:space="preserve"> </w:t>
      </w:r>
      <w:r>
        <w:rPr>
          <w:rFonts w:ascii="黑体" w:hAnsi="黑体" w:eastAsia="黑体" w:cs="黑体"/>
          <w:b/>
          <w:bCs/>
          <w:spacing w:val="-13"/>
          <w:sz w:val="32"/>
          <w:szCs w:val="32"/>
        </w:rPr>
        <w:t>告</w:t>
      </w:r>
    </w:p>
    <w:p w14:paraId="5A16A640">
      <w:pPr>
        <w:spacing w:before="245" w:line="219" w:lineRule="auto"/>
        <w:ind w:left="5910"/>
        <w:rPr>
          <w:rFonts w:ascii="宋体" w:hAnsi="宋体" w:eastAsia="宋体" w:cs="宋体"/>
          <w:sz w:val="21"/>
          <w:szCs w:val="21"/>
        </w:rPr>
      </w:pPr>
      <w:r>
        <w:rPr>
          <w:rFonts w:ascii="宋体" w:hAnsi="宋体" w:eastAsia="宋体" w:cs="宋体"/>
          <w:spacing w:val="18"/>
          <w:sz w:val="21"/>
          <w:szCs w:val="21"/>
        </w:rPr>
        <w:t>新联谊审字(2025)第100509号</w:t>
      </w:r>
    </w:p>
    <w:p w14:paraId="77F9B7BC">
      <w:pPr>
        <w:pStyle w:val="10"/>
        <w:spacing w:line="257" w:lineRule="auto"/>
      </w:pPr>
    </w:p>
    <w:p w14:paraId="416EA02C">
      <w:pPr>
        <w:spacing w:before="78" w:line="219" w:lineRule="auto"/>
        <w:ind w:left="593"/>
        <w:rPr>
          <w:rFonts w:ascii="宋体" w:hAnsi="宋体" w:eastAsia="宋体" w:cs="宋体"/>
          <w:sz w:val="24"/>
          <w:szCs w:val="24"/>
        </w:rPr>
      </w:pPr>
      <w:r>
        <w:rPr>
          <w:rFonts w:ascii="宋体" w:hAnsi="宋体" w:eastAsia="宋体" w:cs="宋体"/>
          <w:b/>
          <w:bCs/>
          <w:spacing w:val="-2"/>
          <w:sz w:val="24"/>
          <w:szCs w:val="24"/>
        </w:rPr>
        <w:t>霸州舜丰村镇银行股份有限公司全体股东：</w:t>
      </w:r>
    </w:p>
    <w:p w14:paraId="3FAD5C1F">
      <w:pPr>
        <w:pStyle w:val="10"/>
        <w:spacing w:line="257" w:lineRule="auto"/>
      </w:pPr>
    </w:p>
    <w:p w14:paraId="4CFEBFE2">
      <w:pPr>
        <w:spacing w:before="78" w:line="219" w:lineRule="auto"/>
        <w:ind w:left="1063"/>
        <w:outlineLvl w:val="3"/>
        <w:rPr>
          <w:rFonts w:ascii="宋体" w:hAnsi="宋体" w:eastAsia="宋体" w:cs="宋体"/>
          <w:sz w:val="24"/>
          <w:szCs w:val="24"/>
        </w:rPr>
      </w:pPr>
      <w:r>
        <w:rPr>
          <w:rFonts w:ascii="宋体" w:hAnsi="宋体" w:eastAsia="宋体" w:cs="宋体"/>
          <w:b/>
          <w:bCs/>
          <w:sz w:val="24"/>
          <w:szCs w:val="24"/>
        </w:rPr>
        <w:t>一、审计意见</w:t>
      </w:r>
    </w:p>
    <w:p w14:paraId="414A1C94">
      <w:pPr>
        <w:spacing w:before="186" w:line="362" w:lineRule="auto"/>
        <w:ind w:left="590" w:right="1480" w:firstLine="470"/>
        <w:rPr>
          <w:rFonts w:ascii="宋体" w:hAnsi="宋体" w:eastAsia="宋体" w:cs="宋体"/>
          <w:sz w:val="24"/>
          <w:szCs w:val="24"/>
        </w:rPr>
      </w:pPr>
      <w:r>
        <w:rPr>
          <w:rFonts w:ascii="宋体" w:hAnsi="宋体" w:eastAsia="宋体" w:cs="宋体"/>
          <w:spacing w:val="11"/>
          <w:sz w:val="24"/>
          <w:szCs w:val="24"/>
        </w:rPr>
        <w:t>我们审计了霸州舜丰村镇银行股份有限公司(以下简称“霸州舜</w:t>
      </w:r>
      <w:r>
        <w:rPr>
          <w:rFonts w:ascii="宋体" w:hAnsi="宋体" w:eastAsia="宋体" w:cs="宋体"/>
          <w:spacing w:val="10"/>
          <w:sz w:val="24"/>
          <w:szCs w:val="24"/>
        </w:rPr>
        <w:t>丰村镇银</w:t>
      </w:r>
      <w:r>
        <w:rPr>
          <w:rFonts w:ascii="宋体" w:hAnsi="宋体" w:eastAsia="宋体" w:cs="宋体"/>
          <w:sz w:val="24"/>
          <w:szCs w:val="24"/>
        </w:rPr>
        <w:t xml:space="preserve"> </w:t>
      </w:r>
      <w:r>
        <w:rPr>
          <w:rFonts w:ascii="宋体" w:hAnsi="宋体" w:eastAsia="宋体" w:cs="宋体"/>
          <w:spacing w:val="14"/>
          <w:sz w:val="24"/>
          <w:szCs w:val="24"/>
        </w:rPr>
        <w:t>行”)财务报表，包括2024年12月31日的资产负债表，2024年度的利润表、</w:t>
      </w:r>
      <w:r>
        <w:rPr>
          <w:rFonts w:ascii="宋体" w:hAnsi="宋体" w:eastAsia="宋体" w:cs="宋体"/>
          <w:spacing w:val="13"/>
          <w:sz w:val="24"/>
          <w:szCs w:val="24"/>
        </w:rPr>
        <w:t xml:space="preserve"> </w:t>
      </w:r>
      <w:r>
        <w:rPr>
          <w:rFonts w:ascii="宋体" w:hAnsi="宋体" w:eastAsia="宋体" w:cs="宋体"/>
          <w:spacing w:val="1"/>
          <w:sz w:val="24"/>
          <w:szCs w:val="24"/>
        </w:rPr>
        <w:t>现金流量表、股东权益变动表以及相关财务报表附注。</w:t>
      </w:r>
    </w:p>
    <w:p w14:paraId="3017CFE3">
      <w:pPr>
        <w:spacing w:before="1" w:line="356" w:lineRule="auto"/>
        <w:ind w:left="590" w:right="1420" w:firstLine="470"/>
        <w:jc w:val="both"/>
        <w:rPr>
          <w:rFonts w:ascii="宋体" w:hAnsi="宋体" w:eastAsia="宋体" w:cs="宋体"/>
          <w:sz w:val="24"/>
          <w:szCs w:val="24"/>
        </w:rPr>
      </w:pPr>
      <w:r>
        <w:rPr>
          <w:rFonts w:ascii="宋体" w:hAnsi="宋体" w:eastAsia="宋体" w:cs="宋体"/>
          <w:spacing w:val="1"/>
          <w:sz w:val="24"/>
          <w:szCs w:val="24"/>
        </w:rPr>
        <w:t>我们认为，后附的财务报表在所有重大方面按照企业会计准则的规定编制，</w:t>
      </w:r>
      <w:r>
        <w:rPr>
          <w:rFonts w:ascii="宋体" w:hAnsi="宋体" w:eastAsia="宋体" w:cs="宋体"/>
          <w:spacing w:val="15"/>
          <w:sz w:val="24"/>
          <w:szCs w:val="24"/>
        </w:rPr>
        <w:t xml:space="preserve"> </w:t>
      </w:r>
      <w:r>
        <w:rPr>
          <w:rFonts w:ascii="宋体" w:hAnsi="宋体" w:eastAsia="宋体" w:cs="宋体"/>
          <w:spacing w:val="12"/>
          <w:sz w:val="24"/>
          <w:szCs w:val="24"/>
        </w:rPr>
        <w:t>公允反映了霸州舜丰村镇银行2024年12月31日的财务状况以及2024年度的经</w:t>
      </w:r>
      <w:r>
        <w:rPr>
          <w:rFonts w:ascii="宋体" w:hAnsi="宋体" w:eastAsia="宋体" w:cs="宋体"/>
          <w:spacing w:val="11"/>
          <w:sz w:val="24"/>
          <w:szCs w:val="24"/>
        </w:rPr>
        <w:t xml:space="preserve"> </w:t>
      </w:r>
      <w:r>
        <w:rPr>
          <w:rFonts w:ascii="宋体" w:hAnsi="宋体" w:eastAsia="宋体" w:cs="宋体"/>
          <w:spacing w:val="-3"/>
          <w:sz w:val="24"/>
          <w:szCs w:val="24"/>
        </w:rPr>
        <w:t>营成果和现金流量。</w:t>
      </w:r>
    </w:p>
    <w:p w14:paraId="69034A43">
      <w:pPr>
        <w:spacing w:before="19" w:line="219" w:lineRule="auto"/>
        <w:ind w:left="1063"/>
        <w:outlineLvl w:val="3"/>
        <w:rPr>
          <w:rFonts w:ascii="宋体" w:hAnsi="宋体" w:eastAsia="宋体" w:cs="宋体"/>
          <w:sz w:val="24"/>
          <w:szCs w:val="24"/>
        </w:rPr>
      </w:pPr>
      <w:r>
        <w:rPr>
          <w:rFonts w:ascii="宋体" w:hAnsi="宋体" w:eastAsia="宋体" w:cs="宋体"/>
          <w:b/>
          <w:bCs/>
          <w:spacing w:val="-2"/>
          <w:sz w:val="24"/>
          <w:szCs w:val="24"/>
        </w:rPr>
        <w:t>二、形成审计意见的基础</w:t>
      </w:r>
    </w:p>
    <w:p w14:paraId="2A20EF96">
      <w:pPr>
        <w:spacing w:before="184" w:line="355" w:lineRule="auto"/>
        <w:ind w:left="590" w:right="1389" w:firstLine="470"/>
        <w:jc w:val="both"/>
        <w:rPr>
          <w:rFonts w:ascii="宋体" w:hAnsi="宋体" w:eastAsia="宋体" w:cs="宋体"/>
          <w:sz w:val="24"/>
          <w:szCs w:val="24"/>
        </w:rPr>
      </w:pPr>
      <w:r>
        <w:rPr>
          <w:rFonts w:ascii="宋体" w:hAnsi="宋体" w:eastAsia="宋体" w:cs="宋体"/>
          <w:sz w:val="24"/>
          <w:szCs w:val="24"/>
        </w:rPr>
        <w:t>我们按照中国注册会计师审计准则的规定执行了审计工作。审计报告的“注</w:t>
      </w:r>
      <w:r>
        <w:rPr>
          <w:rFonts w:ascii="宋体" w:hAnsi="宋体" w:eastAsia="宋体" w:cs="宋体"/>
          <w:spacing w:val="11"/>
          <w:sz w:val="24"/>
          <w:szCs w:val="24"/>
        </w:rPr>
        <w:t xml:space="preserve"> </w:t>
      </w:r>
      <w:r>
        <w:rPr>
          <w:rFonts w:ascii="宋体" w:hAnsi="宋体" w:eastAsia="宋体" w:cs="宋体"/>
          <w:spacing w:val="2"/>
          <w:sz w:val="24"/>
          <w:szCs w:val="24"/>
        </w:rPr>
        <w:t>册会计师对财务报表审计的责任”部分进一步阐述了我们在这些准则下的责任。</w:t>
      </w:r>
      <w:r>
        <w:rPr>
          <w:rFonts w:ascii="宋体" w:hAnsi="宋体" w:eastAsia="宋体" w:cs="宋体"/>
          <w:sz w:val="24"/>
          <w:szCs w:val="24"/>
        </w:rPr>
        <w:t xml:space="preserve"> 按照中国注册会计师职业道德守则，我们独立于霸</w:t>
      </w:r>
      <w:r>
        <w:rPr>
          <w:rFonts w:ascii="宋体" w:hAnsi="宋体" w:eastAsia="宋体" w:cs="宋体"/>
          <w:spacing w:val="-1"/>
          <w:sz w:val="24"/>
          <w:szCs w:val="24"/>
        </w:rPr>
        <w:t>州舜丰村镇银行，并履行了职</w:t>
      </w:r>
      <w:r>
        <w:rPr>
          <w:rFonts w:ascii="宋体" w:hAnsi="宋体" w:eastAsia="宋体" w:cs="宋体"/>
          <w:sz w:val="24"/>
          <w:szCs w:val="24"/>
        </w:rPr>
        <w:t xml:space="preserve"> 业道德方面的其他责任。我们相信，我们获取的审计证据</w:t>
      </w:r>
      <w:r>
        <w:rPr>
          <w:rFonts w:ascii="宋体" w:hAnsi="宋体" w:eastAsia="宋体" w:cs="宋体"/>
          <w:spacing w:val="-1"/>
          <w:sz w:val="24"/>
          <w:szCs w:val="24"/>
        </w:rPr>
        <w:t>是充分、适当的，为发</w:t>
      </w:r>
      <w:r>
        <w:rPr>
          <w:rFonts w:ascii="宋体" w:hAnsi="宋体" w:eastAsia="宋体" w:cs="宋体"/>
          <w:sz w:val="24"/>
          <w:szCs w:val="24"/>
        </w:rPr>
        <w:t xml:space="preserve"> </w:t>
      </w:r>
      <w:r>
        <w:rPr>
          <w:rFonts w:ascii="宋体" w:hAnsi="宋体" w:eastAsia="宋体" w:cs="宋体"/>
          <w:spacing w:val="-1"/>
          <w:sz w:val="24"/>
          <w:szCs w:val="24"/>
        </w:rPr>
        <w:t>表审计意见提供了基础。</w:t>
      </w:r>
    </w:p>
    <w:p w14:paraId="4970E121">
      <w:pPr>
        <w:spacing w:before="33" w:line="219" w:lineRule="auto"/>
        <w:ind w:left="1063"/>
        <w:outlineLvl w:val="3"/>
        <w:rPr>
          <w:rFonts w:ascii="宋体" w:hAnsi="宋体" w:eastAsia="宋体" w:cs="宋体"/>
          <w:sz w:val="24"/>
          <w:szCs w:val="24"/>
        </w:rPr>
      </w:pPr>
      <w:r>
        <w:rPr>
          <w:rFonts w:ascii="宋体" w:hAnsi="宋体" w:eastAsia="宋体" w:cs="宋体"/>
          <w:b/>
          <w:bCs/>
          <w:sz w:val="24"/>
          <w:szCs w:val="24"/>
        </w:rPr>
        <w:t>三、管理层和治理层对财务报表的责任</w:t>
      </w:r>
    </w:p>
    <w:p w14:paraId="71E448D9">
      <w:pPr>
        <w:spacing w:before="199" w:line="361" w:lineRule="auto"/>
        <w:ind w:left="590" w:right="1451" w:firstLine="470"/>
        <w:jc w:val="both"/>
        <w:rPr>
          <w:rFonts w:ascii="宋体" w:hAnsi="宋体" w:eastAsia="宋体" w:cs="宋体"/>
          <w:sz w:val="24"/>
          <w:szCs w:val="24"/>
        </w:rPr>
      </w:pPr>
      <w:r>
        <w:rPr>
          <w:rFonts w:ascii="宋体" w:hAnsi="宋体" w:eastAsia="宋体" w:cs="宋体"/>
          <w:spacing w:val="-1"/>
          <w:sz w:val="24"/>
          <w:szCs w:val="24"/>
        </w:rPr>
        <w:t>管理层负责按照企业会计准则的规定编制财务报表，使其实现公允反映，并</w:t>
      </w:r>
      <w:r>
        <w:rPr>
          <w:rFonts w:ascii="宋体" w:hAnsi="宋体" w:eastAsia="宋体" w:cs="宋体"/>
          <w:spacing w:val="16"/>
          <w:sz w:val="24"/>
          <w:szCs w:val="24"/>
        </w:rPr>
        <w:t xml:space="preserve"> </w:t>
      </w:r>
      <w:r>
        <w:rPr>
          <w:rFonts w:ascii="宋体" w:hAnsi="宋体" w:eastAsia="宋体" w:cs="宋体"/>
          <w:sz w:val="24"/>
          <w:szCs w:val="24"/>
        </w:rPr>
        <w:t>设计、执行和维护必要的内部控制，以使财务报表不存在由于舞弊或错误导致的</w:t>
      </w:r>
      <w:r>
        <w:rPr>
          <w:rFonts w:ascii="宋体" w:hAnsi="宋体" w:eastAsia="宋体" w:cs="宋体"/>
          <w:spacing w:val="7"/>
          <w:sz w:val="24"/>
          <w:szCs w:val="24"/>
        </w:rPr>
        <w:t xml:space="preserve"> </w:t>
      </w:r>
      <w:r>
        <w:rPr>
          <w:rFonts w:ascii="宋体" w:hAnsi="宋体" w:eastAsia="宋体" w:cs="宋体"/>
          <w:spacing w:val="-2"/>
          <w:sz w:val="24"/>
          <w:szCs w:val="24"/>
        </w:rPr>
        <w:t>重大错报。</w:t>
      </w:r>
    </w:p>
    <w:p w14:paraId="7BE2CDBD">
      <w:pPr>
        <w:spacing w:before="2" w:line="355" w:lineRule="auto"/>
        <w:ind w:left="590" w:right="1477" w:firstLine="470"/>
        <w:jc w:val="both"/>
        <w:rPr>
          <w:rFonts w:ascii="宋体" w:hAnsi="宋体" w:eastAsia="宋体" w:cs="宋体"/>
          <w:sz w:val="24"/>
          <w:szCs w:val="24"/>
        </w:rPr>
      </w:pPr>
      <w:r>
        <w:rPr>
          <w:rFonts w:ascii="宋体" w:hAnsi="宋体" w:eastAsia="宋体" w:cs="宋体"/>
          <w:sz w:val="24"/>
          <w:szCs w:val="24"/>
        </w:rPr>
        <w:t>在编制财务报表时，管理层负责评估霸州舜丰村镇银</w:t>
      </w:r>
      <w:r>
        <w:rPr>
          <w:rFonts w:ascii="宋体" w:hAnsi="宋体" w:eastAsia="宋体" w:cs="宋体"/>
          <w:spacing w:val="-1"/>
          <w:sz w:val="24"/>
          <w:szCs w:val="24"/>
        </w:rPr>
        <w:t>行的持续经营能力，披</w:t>
      </w:r>
      <w:r>
        <w:rPr>
          <w:rFonts w:ascii="宋体" w:hAnsi="宋体" w:eastAsia="宋体" w:cs="宋体"/>
          <w:sz w:val="24"/>
          <w:szCs w:val="24"/>
        </w:rPr>
        <w:t xml:space="preserve"> </w:t>
      </w:r>
      <w:r>
        <w:rPr>
          <w:rFonts w:ascii="宋体" w:hAnsi="宋体" w:eastAsia="宋体" w:cs="宋体"/>
          <w:spacing w:val="10"/>
          <w:sz w:val="24"/>
          <w:szCs w:val="24"/>
        </w:rPr>
        <w:t>露与持续经营相关的事项(如适用),并运用持续经营假设</w:t>
      </w:r>
      <w:r>
        <w:rPr>
          <w:rFonts w:ascii="宋体" w:hAnsi="宋体" w:eastAsia="宋体" w:cs="宋体"/>
          <w:spacing w:val="9"/>
          <w:sz w:val="24"/>
          <w:szCs w:val="24"/>
        </w:rPr>
        <w:t>，除非管理层计划清</w:t>
      </w:r>
      <w:r>
        <w:rPr>
          <w:rFonts w:ascii="宋体" w:hAnsi="宋体" w:eastAsia="宋体" w:cs="宋体"/>
          <w:sz w:val="24"/>
          <w:szCs w:val="24"/>
        </w:rPr>
        <w:t xml:space="preserve"> </w:t>
      </w:r>
      <w:r>
        <w:rPr>
          <w:rFonts w:ascii="宋体" w:hAnsi="宋体" w:eastAsia="宋体" w:cs="宋体"/>
          <w:spacing w:val="1"/>
          <w:sz w:val="24"/>
          <w:szCs w:val="24"/>
        </w:rPr>
        <w:t>算霸州舜丰村镇银行、终止运营或别无其他现实的选择。</w:t>
      </w:r>
    </w:p>
    <w:p w14:paraId="24ECAEC2">
      <w:pPr>
        <w:pStyle w:val="10"/>
        <w:spacing w:line="263" w:lineRule="auto"/>
      </w:pPr>
    </w:p>
    <w:p w14:paraId="183068DA">
      <w:pPr>
        <w:pStyle w:val="10"/>
        <w:spacing w:line="263" w:lineRule="auto"/>
      </w:pPr>
      <w:r>
        <w:drawing>
          <wp:anchor distT="0" distB="0" distL="0" distR="0" simplePos="0" relativeHeight="251662336" behindDoc="0" locked="0" layoutInCell="1" allowOverlap="1">
            <wp:simplePos x="0" y="0"/>
            <wp:positionH relativeFrom="column">
              <wp:posOffset>5898515</wp:posOffset>
            </wp:positionH>
            <wp:positionV relativeFrom="paragraph">
              <wp:posOffset>635</wp:posOffset>
            </wp:positionV>
            <wp:extent cx="736600" cy="723900"/>
            <wp:effectExtent l="0" t="0" r="635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736607" cy="723937"/>
                    </a:xfrm>
                    <a:prstGeom prst="rect">
                      <a:avLst/>
                    </a:prstGeom>
                  </pic:spPr>
                </pic:pic>
              </a:graphicData>
            </a:graphic>
          </wp:anchor>
        </w:drawing>
      </w:r>
    </w:p>
    <w:p w14:paraId="34ECCAC1">
      <w:pPr>
        <w:spacing w:line="188" w:lineRule="auto"/>
        <w:rPr>
          <w:rFonts w:ascii="Times New Roman" w:hAnsi="Times New Roman" w:eastAsia="Times New Roman" w:cs="Times New Roman"/>
          <w:sz w:val="14"/>
          <w:szCs w:val="14"/>
        </w:rPr>
        <w:sectPr>
          <w:footerReference r:id="rId5" w:type="default"/>
          <w:pgSz w:w="11900" w:h="16820"/>
          <w:pgMar w:top="1270" w:right="260" w:bottom="400" w:left="1190" w:header="0" w:footer="0" w:gutter="0"/>
          <w:pgNumType w:fmt="decimal" w:start="1"/>
          <w:cols w:space="720" w:num="1"/>
        </w:sectPr>
      </w:pPr>
    </w:p>
    <w:p w14:paraId="6E867FDB">
      <w:pPr>
        <w:spacing w:before="297" w:line="218" w:lineRule="auto"/>
        <w:ind w:left="530"/>
        <w:rPr>
          <w:rFonts w:ascii="宋体" w:hAnsi="宋体" w:eastAsia="宋体" w:cs="宋体"/>
          <w:sz w:val="24"/>
          <w:szCs w:val="24"/>
        </w:rPr>
      </w:pPr>
      <w:r>
        <w:rPr>
          <w:rFonts w:ascii="宋体" w:hAnsi="宋体" w:eastAsia="宋体" w:cs="宋体"/>
          <w:spacing w:val="1"/>
          <w:sz w:val="24"/>
          <w:szCs w:val="24"/>
        </w:rPr>
        <w:t>治理层负责监督霸州舜丰村镇银行的财务报告过程。</w:t>
      </w:r>
    </w:p>
    <w:p w14:paraId="217E9BD2">
      <w:pPr>
        <w:spacing w:before="183" w:line="219" w:lineRule="auto"/>
        <w:ind w:left="533"/>
        <w:outlineLvl w:val="3"/>
        <w:rPr>
          <w:rFonts w:ascii="宋体" w:hAnsi="宋体" w:eastAsia="宋体" w:cs="宋体"/>
          <w:sz w:val="24"/>
          <w:szCs w:val="24"/>
        </w:rPr>
      </w:pPr>
      <w:r>
        <w:rPr>
          <w:rFonts w:ascii="宋体" w:hAnsi="宋体" w:eastAsia="宋体" w:cs="宋体"/>
          <w:b/>
          <w:bCs/>
          <w:spacing w:val="-3"/>
          <w:sz w:val="24"/>
          <w:szCs w:val="24"/>
        </w:rPr>
        <w:t>四</w:t>
      </w:r>
      <w:r>
        <w:rPr>
          <w:rFonts w:ascii="宋体" w:hAnsi="宋体" w:eastAsia="宋体" w:cs="宋体"/>
          <w:spacing w:val="-60"/>
          <w:sz w:val="24"/>
          <w:szCs w:val="24"/>
        </w:rPr>
        <w:t xml:space="preserve"> </w:t>
      </w:r>
      <w:r>
        <w:rPr>
          <w:rFonts w:ascii="宋体" w:hAnsi="宋体" w:eastAsia="宋体" w:cs="宋体"/>
          <w:b/>
          <w:bCs/>
          <w:spacing w:val="-3"/>
          <w:sz w:val="24"/>
          <w:szCs w:val="24"/>
        </w:rPr>
        <w:t>、注册会计师对财务报表审计的责任</w:t>
      </w:r>
    </w:p>
    <w:p w14:paraId="191FD026">
      <w:pPr>
        <w:spacing w:before="186" w:line="362" w:lineRule="auto"/>
        <w:ind w:left="39" w:right="1478" w:firstLine="490"/>
        <w:jc w:val="both"/>
        <w:rPr>
          <w:rFonts w:ascii="宋体" w:hAnsi="宋体" w:eastAsia="宋体" w:cs="宋体"/>
          <w:sz w:val="24"/>
          <w:szCs w:val="24"/>
        </w:rPr>
      </w:pPr>
      <w:r>
        <w:rPr>
          <w:rFonts w:ascii="宋体" w:hAnsi="宋体" w:eastAsia="宋体" w:cs="宋体"/>
          <w:spacing w:val="7"/>
          <w:sz w:val="24"/>
          <w:szCs w:val="24"/>
        </w:rPr>
        <w:t>我们的目标是对财务报表整体是否不存在由于舞弊或错误导致的重大错报</w:t>
      </w:r>
      <w:r>
        <w:rPr>
          <w:rFonts w:ascii="宋体" w:hAnsi="宋体" w:eastAsia="宋体" w:cs="宋体"/>
          <w:spacing w:val="6"/>
          <w:sz w:val="24"/>
          <w:szCs w:val="24"/>
        </w:rPr>
        <w:t xml:space="preserve"> </w:t>
      </w:r>
      <w:r>
        <w:rPr>
          <w:rFonts w:ascii="宋体" w:hAnsi="宋体" w:eastAsia="宋体" w:cs="宋体"/>
          <w:sz w:val="24"/>
          <w:szCs w:val="24"/>
        </w:rPr>
        <w:t>获取合理保证，并出具包含审计意见的审计报</w:t>
      </w:r>
      <w:r>
        <w:rPr>
          <w:rFonts w:ascii="宋体" w:hAnsi="宋体" w:eastAsia="宋体" w:cs="宋体"/>
          <w:spacing w:val="-1"/>
          <w:sz w:val="24"/>
          <w:szCs w:val="24"/>
        </w:rPr>
        <w:t>告。合理保证是高水平的保证，但</w:t>
      </w:r>
      <w:r>
        <w:rPr>
          <w:rFonts w:ascii="宋体" w:hAnsi="宋体" w:eastAsia="宋体" w:cs="宋体"/>
          <w:sz w:val="24"/>
          <w:szCs w:val="24"/>
        </w:rPr>
        <w:t xml:space="preserve"> </w:t>
      </w:r>
      <w:r>
        <w:rPr>
          <w:rFonts w:ascii="宋体" w:hAnsi="宋体" w:eastAsia="宋体" w:cs="宋体"/>
          <w:spacing w:val="-1"/>
          <w:sz w:val="24"/>
          <w:szCs w:val="24"/>
        </w:rPr>
        <w:t>并不能保证按照审计准则执行的审计在某一重大错报存在时总能发现。错报可能</w:t>
      </w:r>
      <w:r>
        <w:rPr>
          <w:rFonts w:ascii="宋体" w:hAnsi="宋体" w:eastAsia="宋体" w:cs="宋体"/>
          <w:spacing w:val="18"/>
          <w:sz w:val="24"/>
          <w:szCs w:val="24"/>
        </w:rPr>
        <w:t xml:space="preserve"> </w:t>
      </w:r>
      <w:r>
        <w:rPr>
          <w:rFonts w:ascii="宋体" w:hAnsi="宋体" w:eastAsia="宋体" w:cs="宋体"/>
          <w:spacing w:val="-1"/>
          <w:sz w:val="24"/>
          <w:szCs w:val="24"/>
        </w:rPr>
        <w:t>由舞弊或错误导致，如果合理预期错报单独或汇总起来可能影响财务</w:t>
      </w:r>
      <w:r>
        <w:rPr>
          <w:rFonts w:ascii="宋体" w:hAnsi="宋体" w:eastAsia="宋体" w:cs="宋体"/>
          <w:spacing w:val="-2"/>
          <w:sz w:val="24"/>
          <w:szCs w:val="24"/>
        </w:rPr>
        <w:t>报表使用者</w:t>
      </w:r>
      <w:r>
        <w:rPr>
          <w:rFonts w:ascii="宋体" w:hAnsi="宋体" w:eastAsia="宋体" w:cs="宋体"/>
          <w:sz w:val="24"/>
          <w:szCs w:val="24"/>
        </w:rPr>
        <w:t xml:space="preserve"> </w:t>
      </w:r>
      <w:r>
        <w:rPr>
          <w:rFonts w:ascii="宋体" w:hAnsi="宋体" w:eastAsia="宋体" w:cs="宋体"/>
          <w:spacing w:val="1"/>
          <w:sz w:val="24"/>
          <w:szCs w:val="24"/>
        </w:rPr>
        <w:t>依据财务报表作出的经济决策，则通常认为错报是重大的。</w:t>
      </w:r>
    </w:p>
    <w:p w14:paraId="7A9427C7">
      <w:pPr>
        <w:spacing w:before="2" w:line="360" w:lineRule="auto"/>
        <w:ind w:left="39" w:right="1369" w:firstLine="490"/>
        <w:rPr>
          <w:rFonts w:ascii="宋体" w:hAnsi="宋体" w:eastAsia="宋体" w:cs="宋体"/>
          <w:sz w:val="24"/>
          <w:szCs w:val="24"/>
        </w:rPr>
      </w:pPr>
      <w:r>
        <w:rPr>
          <w:rFonts w:ascii="宋体" w:hAnsi="宋体" w:eastAsia="宋体" w:cs="宋体"/>
          <w:spacing w:val="-4"/>
          <w:sz w:val="24"/>
          <w:szCs w:val="24"/>
        </w:rPr>
        <w:t>在按照审计准则执行审计的过程中，我们运用了职业判断，保持</w:t>
      </w:r>
      <w:r>
        <w:rPr>
          <w:rFonts w:ascii="宋体" w:hAnsi="宋体" w:eastAsia="宋体" w:cs="宋体"/>
          <w:spacing w:val="-5"/>
          <w:sz w:val="24"/>
          <w:szCs w:val="24"/>
        </w:rPr>
        <w:t>了职业怀疑。</w:t>
      </w:r>
      <w:r>
        <w:rPr>
          <w:rFonts w:ascii="宋体" w:hAnsi="宋体" w:eastAsia="宋体" w:cs="宋体"/>
          <w:sz w:val="24"/>
          <w:szCs w:val="24"/>
        </w:rPr>
        <w:t xml:space="preserve"> </w:t>
      </w:r>
      <w:r>
        <w:rPr>
          <w:rFonts w:ascii="宋体" w:hAnsi="宋体" w:eastAsia="宋体" w:cs="宋体"/>
          <w:spacing w:val="-2"/>
          <w:sz w:val="24"/>
          <w:szCs w:val="24"/>
        </w:rPr>
        <w:t>同时，我们也执行以下工作：</w:t>
      </w:r>
    </w:p>
    <w:p w14:paraId="2A73FCAB">
      <w:pPr>
        <w:spacing w:before="3" w:line="333" w:lineRule="auto"/>
        <w:ind w:left="39" w:right="1469" w:firstLine="609"/>
        <w:rPr>
          <w:rFonts w:ascii="宋体" w:hAnsi="宋体" w:eastAsia="宋体" w:cs="宋体"/>
          <w:sz w:val="24"/>
          <w:szCs w:val="24"/>
        </w:rPr>
      </w:pPr>
      <w:r>
        <w:rPr>
          <w:rFonts w:ascii="宋体" w:hAnsi="宋体" w:eastAsia="宋体" w:cs="宋体"/>
          <w:spacing w:val="7"/>
          <w:sz w:val="24"/>
          <w:szCs w:val="24"/>
        </w:rPr>
        <w:t>(1)识别和评估由于舞弊或错误导致的财务报表重大错报风险，设计和实</w:t>
      </w:r>
      <w:r>
        <w:rPr>
          <w:rFonts w:ascii="宋体" w:hAnsi="宋体" w:eastAsia="宋体" w:cs="宋体"/>
          <w:sz w:val="24"/>
          <w:szCs w:val="24"/>
        </w:rPr>
        <w:t xml:space="preserve"> 施审计程序以应对这些风险，并获取充分、适当的审计证</w:t>
      </w:r>
      <w:r>
        <w:rPr>
          <w:rFonts w:ascii="宋体" w:hAnsi="宋体" w:eastAsia="宋体" w:cs="宋体"/>
          <w:spacing w:val="-1"/>
          <w:sz w:val="24"/>
          <w:szCs w:val="24"/>
        </w:rPr>
        <w:t>据，作为发表审计意见</w:t>
      </w:r>
      <w:r>
        <w:rPr>
          <w:rFonts w:ascii="宋体" w:hAnsi="宋体" w:eastAsia="宋体" w:cs="宋体"/>
          <w:sz w:val="24"/>
          <w:szCs w:val="24"/>
        </w:rPr>
        <w:t xml:space="preserve"> 的基础。由于舞弊可能涉及串通、伪造、故意遗漏、虚假陈述或凌驾于内部控制</w:t>
      </w:r>
      <w:r>
        <w:rPr>
          <w:rFonts w:ascii="宋体" w:hAnsi="宋体" w:eastAsia="宋体" w:cs="宋体"/>
          <w:spacing w:val="9"/>
          <w:sz w:val="24"/>
          <w:szCs w:val="24"/>
        </w:rPr>
        <w:t xml:space="preserve"> </w:t>
      </w:r>
      <w:r>
        <w:rPr>
          <w:rFonts w:ascii="宋体" w:hAnsi="宋体" w:eastAsia="宋体" w:cs="宋体"/>
          <w:sz w:val="24"/>
          <w:szCs w:val="24"/>
        </w:rPr>
        <w:t>之上，未能发现由于舞弊导致的重大错报的风险高</w:t>
      </w:r>
      <w:r>
        <w:rPr>
          <w:rFonts w:ascii="宋体" w:hAnsi="宋体" w:eastAsia="宋体" w:cs="宋体"/>
          <w:spacing w:val="-1"/>
          <w:sz w:val="24"/>
          <w:szCs w:val="24"/>
        </w:rPr>
        <w:t>于未能发现由于错误导致的重</w:t>
      </w:r>
      <w:r>
        <w:rPr>
          <w:rFonts w:ascii="宋体" w:hAnsi="宋体" w:eastAsia="宋体" w:cs="宋体"/>
          <w:sz w:val="24"/>
          <w:szCs w:val="24"/>
        </w:rPr>
        <w:t xml:space="preserve"> </w:t>
      </w:r>
      <w:r>
        <w:rPr>
          <w:rFonts w:ascii="宋体" w:hAnsi="宋体" w:eastAsia="宋体" w:cs="宋体"/>
          <w:spacing w:val="-1"/>
          <w:sz w:val="24"/>
          <w:szCs w:val="24"/>
        </w:rPr>
        <w:t>大错报的风险。</w:t>
      </w:r>
    </w:p>
    <w:p w14:paraId="3EB8C840">
      <w:pPr>
        <w:spacing w:before="183" w:line="295" w:lineRule="auto"/>
        <w:ind w:left="39" w:right="1479" w:firstLine="609"/>
        <w:rPr>
          <w:rFonts w:ascii="宋体" w:hAnsi="宋体" w:eastAsia="宋体" w:cs="宋体"/>
          <w:sz w:val="24"/>
          <w:szCs w:val="24"/>
        </w:rPr>
      </w:pPr>
      <w:r>
        <w:rPr>
          <w:rFonts w:ascii="宋体" w:hAnsi="宋体" w:eastAsia="宋体" w:cs="宋体"/>
          <w:spacing w:val="7"/>
          <w:sz w:val="24"/>
          <w:szCs w:val="24"/>
        </w:rPr>
        <w:t>(2)了解与审计相关的内部控制，以设计恰当的审计程序，但目的并</w:t>
      </w:r>
      <w:r>
        <w:rPr>
          <w:rFonts w:ascii="宋体" w:hAnsi="宋体" w:eastAsia="宋体" w:cs="宋体"/>
          <w:spacing w:val="6"/>
          <w:sz w:val="24"/>
          <w:szCs w:val="24"/>
        </w:rPr>
        <w:t>非对</w:t>
      </w:r>
      <w:r>
        <w:rPr>
          <w:rFonts w:ascii="宋体" w:hAnsi="宋体" w:eastAsia="宋体" w:cs="宋体"/>
          <w:sz w:val="24"/>
          <w:szCs w:val="24"/>
        </w:rPr>
        <w:t xml:space="preserve"> </w:t>
      </w:r>
      <w:r>
        <w:rPr>
          <w:rFonts w:ascii="宋体" w:hAnsi="宋体" w:eastAsia="宋体" w:cs="宋体"/>
          <w:spacing w:val="-2"/>
          <w:sz w:val="24"/>
          <w:szCs w:val="24"/>
        </w:rPr>
        <w:t>内部控制的有效性发表意见。</w:t>
      </w:r>
    </w:p>
    <w:p w14:paraId="27305A29">
      <w:pPr>
        <w:spacing w:before="172" w:line="289" w:lineRule="auto"/>
        <w:ind w:left="39" w:right="1481" w:firstLine="609"/>
        <w:rPr>
          <w:rFonts w:ascii="宋体" w:hAnsi="宋体" w:eastAsia="宋体" w:cs="宋体"/>
          <w:sz w:val="24"/>
          <w:szCs w:val="24"/>
        </w:rPr>
      </w:pPr>
      <w:r>
        <w:rPr>
          <w:rFonts w:ascii="宋体" w:hAnsi="宋体" w:eastAsia="宋体" w:cs="宋体"/>
          <w:spacing w:val="7"/>
          <w:sz w:val="24"/>
          <w:szCs w:val="24"/>
        </w:rPr>
        <w:t>(3)评价管理层选用会计政策的恰当性和作出会计估计及相关披</w:t>
      </w:r>
      <w:r>
        <w:rPr>
          <w:rFonts w:ascii="宋体" w:hAnsi="宋体" w:eastAsia="宋体" w:cs="宋体"/>
          <w:spacing w:val="6"/>
          <w:sz w:val="24"/>
          <w:szCs w:val="24"/>
        </w:rPr>
        <w:t>露的合理</w:t>
      </w:r>
      <w:r>
        <w:rPr>
          <w:rFonts w:ascii="宋体" w:hAnsi="宋体" w:eastAsia="宋体" w:cs="宋体"/>
          <w:sz w:val="24"/>
          <w:szCs w:val="24"/>
        </w:rPr>
        <w:t xml:space="preserve"> </w:t>
      </w:r>
      <w:r>
        <w:rPr>
          <w:rFonts w:ascii="宋体" w:hAnsi="宋体" w:eastAsia="宋体" w:cs="宋体"/>
          <w:spacing w:val="-6"/>
          <w:sz w:val="24"/>
          <w:szCs w:val="24"/>
        </w:rPr>
        <w:t>性。</w:t>
      </w:r>
    </w:p>
    <w:p w14:paraId="3F927F03">
      <w:pPr>
        <w:spacing w:before="188" w:line="338" w:lineRule="auto"/>
        <w:ind w:left="39" w:right="1399" w:firstLine="609"/>
        <w:rPr>
          <w:rFonts w:ascii="宋体" w:hAnsi="宋体" w:eastAsia="宋体" w:cs="宋体"/>
          <w:sz w:val="24"/>
          <w:szCs w:val="24"/>
        </w:rPr>
      </w:pPr>
      <w:r>
        <w:rPr>
          <w:rFonts w:ascii="宋体" w:hAnsi="宋体" w:eastAsia="宋体" w:cs="宋体"/>
          <w:spacing w:val="6"/>
          <w:sz w:val="24"/>
          <w:szCs w:val="24"/>
        </w:rPr>
        <w:t>(4)对管理层使用持续经营假设的恰当性得出结论。同时，根据获取的审</w:t>
      </w:r>
      <w:r>
        <w:rPr>
          <w:rFonts w:ascii="宋体" w:hAnsi="宋体" w:eastAsia="宋体" w:cs="宋体"/>
          <w:spacing w:val="11"/>
          <w:sz w:val="24"/>
          <w:szCs w:val="24"/>
        </w:rPr>
        <w:t xml:space="preserve"> </w:t>
      </w:r>
      <w:r>
        <w:rPr>
          <w:rFonts w:ascii="宋体" w:hAnsi="宋体" w:eastAsia="宋体" w:cs="宋体"/>
          <w:sz w:val="24"/>
          <w:szCs w:val="24"/>
        </w:rPr>
        <w:t>计证据，就可能导致对霸州舜丰村镇银行持续经营能力</w:t>
      </w:r>
      <w:r>
        <w:rPr>
          <w:rFonts w:ascii="宋体" w:hAnsi="宋体" w:eastAsia="宋体" w:cs="宋体"/>
          <w:spacing w:val="-1"/>
          <w:sz w:val="24"/>
          <w:szCs w:val="24"/>
        </w:rPr>
        <w:t>产生重大疑虑的事项或情</w:t>
      </w:r>
      <w:r>
        <w:rPr>
          <w:rFonts w:ascii="宋体" w:hAnsi="宋体" w:eastAsia="宋体" w:cs="宋体"/>
          <w:sz w:val="24"/>
          <w:szCs w:val="24"/>
        </w:rPr>
        <w:t xml:space="preserve"> </w:t>
      </w:r>
      <w:r>
        <w:rPr>
          <w:rFonts w:ascii="宋体" w:hAnsi="宋体" w:eastAsia="宋体" w:cs="宋体"/>
          <w:spacing w:val="1"/>
          <w:sz w:val="24"/>
          <w:szCs w:val="24"/>
        </w:rPr>
        <w:t>况是否存在重大不确定性得出结论。如果我们得出结论认为存在</w:t>
      </w:r>
      <w:r>
        <w:rPr>
          <w:rFonts w:ascii="宋体" w:hAnsi="宋体" w:eastAsia="宋体" w:cs="宋体"/>
          <w:sz w:val="24"/>
          <w:szCs w:val="24"/>
        </w:rPr>
        <w:t xml:space="preserve">重大不确定性， </w:t>
      </w:r>
      <w:r>
        <w:rPr>
          <w:rFonts w:ascii="宋体" w:hAnsi="宋体" w:eastAsia="宋体" w:cs="宋体"/>
          <w:spacing w:val="-1"/>
          <w:sz w:val="24"/>
          <w:szCs w:val="24"/>
        </w:rPr>
        <w:t>审计准则要求我们在审计报告中提请报表使用者注意财务报表中的相关披露；如</w:t>
      </w:r>
      <w:r>
        <w:rPr>
          <w:rFonts w:ascii="宋体" w:hAnsi="宋体" w:eastAsia="宋体" w:cs="宋体"/>
          <w:spacing w:val="6"/>
          <w:sz w:val="24"/>
          <w:szCs w:val="24"/>
        </w:rPr>
        <w:t xml:space="preserve">  </w:t>
      </w:r>
      <w:r>
        <w:rPr>
          <w:rFonts w:ascii="宋体" w:hAnsi="宋体" w:eastAsia="宋体" w:cs="宋体"/>
          <w:sz w:val="24"/>
          <w:szCs w:val="24"/>
        </w:rPr>
        <w:t>果披露不充分，我们应当发表非无保留意见</w:t>
      </w:r>
      <w:r>
        <w:rPr>
          <w:rFonts w:ascii="宋体" w:hAnsi="宋体" w:eastAsia="宋体" w:cs="宋体"/>
          <w:spacing w:val="-1"/>
          <w:sz w:val="24"/>
          <w:szCs w:val="24"/>
        </w:rPr>
        <w:t>。我们的结论基于截至审计报告日可</w:t>
      </w:r>
      <w:r>
        <w:rPr>
          <w:rFonts w:ascii="宋体" w:hAnsi="宋体" w:eastAsia="宋体" w:cs="宋体"/>
          <w:sz w:val="24"/>
          <w:szCs w:val="24"/>
        </w:rPr>
        <w:t xml:space="preserve"> </w:t>
      </w:r>
      <w:r>
        <w:rPr>
          <w:rFonts w:ascii="宋体" w:hAnsi="宋体" w:eastAsia="宋体" w:cs="宋体"/>
          <w:spacing w:val="-5"/>
          <w:sz w:val="24"/>
          <w:szCs w:val="24"/>
        </w:rPr>
        <w:t>获得的信息。然而，未来的事项或情况可能导致霸州舜丰村镇银行不能持续经营。</w:t>
      </w:r>
    </w:p>
    <w:p w14:paraId="102C779C">
      <w:pPr>
        <w:spacing w:before="175" w:line="288" w:lineRule="auto"/>
        <w:ind w:left="39" w:right="1481" w:firstLine="609"/>
        <w:rPr>
          <w:rFonts w:ascii="宋体" w:hAnsi="宋体" w:eastAsia="宋体" w:cs="宋体"/>
          <w:sz w:val="24"/>
          <w:szCs w:val="24"/>
        </w:rPr>
      </w:pPr>
      <w:r>
        <w:rPr>
          <w:rFonts w:ascii="宋体" w:hAnsi="宋体" w:eastAsia="宋体" w:cs="宋体"/>
          <w:spacing w:val="7"/>
          <w:sz w:val="24"/>
          <w:szCs w:val="24"/>
        </w:rPr>
        <w:t>(5)评价财务报表的总体列报、结构和内容，并评价财务报表是</w:t>
      </w:r>
      <w:r>
        <w:rPr>
          <w:rFonts w:ascii="宋体" w:hAnsi="宋体" w:eastAsia="宋体" w:cs="宋体"/>
          <w:spacing w:val="6"/>
          <w:sz w:val="24"/>
          <w:szCs w:val="24"/>
        </w:rPr>
        <w:t>否公允反</w:t>
      </w:r>
      <w:r>
        <w:rPr>
          <w:rFonts w:ascii="宋体" w:hAnsi="宋体" w:eastAsia="宋体" w:cs="宋体"/>
          <w:sz w:val="24"/>
          <w:szCs w:val="24"/>
        </w:rPr>
        <w:t xml:space="preserve"> 映相关交易和事项。</w:t>
      </w:r>
    </w:p>
    <w:p w14:paraId="63FAB39D">
      <w:pPr>
        <w:spacing w:before="192" w:line="364" w:lineRule="auto"/>
        <w:ind w:left="39" w:right="1471" w:firstLine="490"/>
        <w:rPr>
          <w:rFonts w:ascii="宋体" w:hAnsi="宋体" w:eastAsia="宋体" w:cs="宋体"/>
          <w:sz w:val="24"/>
          <w:szCs w:val="24"/>
        </w:rPr>
      </w:pPr>
      <w:r>
        <w:rPr>
          <w:rFonts w:ascii="宋体" w:hAnsi="宋体" w:eastAsia="宋体" w:cs="宋体"/>
          <w:spacing w:val="7"/>
          <w:sz w:val="24"/>
          <w:szCs w:val="24"/>
        </w:rPr>
        <w:t>我们与治理层就计划的审计范围、时间安排和重大审计发现等事项进行沟</w:t>
      </w:r>
      <w:r>
        <w:rPr>
          <w:rFonts w:ascii="宋体" w:hAnsi="宋体" w:eastAsia="宋体" w:cs="宋体"/>
          <w:spacing w:val="13"/>
          <w:sz w:val="24"/>
          <w:szCs w:val="24"/>
        </w:rPr>
        <w:t xml:space="preserve"> </w:t>
      </w:r>
      <w:r>
        <w:rPr>
          <w:rFonts w:ascii="宋体" w:hAnsi="宋体" w:eastAsia="宋体" w:cs="宋体"/>
          <w:spacing w:val="1"/>
          <w:sz w:val="24"/>
          <w:szCs w:val="24"/>
        </w:rPr>
        <w:t>通，包括沟通我们在审计中识别出的值得关注的内部控制缺陷。</w:t>
      </w:r>
    </w:p>
    <w:p w14:paraId="25DC3093">
      <w:pPr>
        <w:pStyle w:val="10"/>
        <w:spacing w:line="291" w:lineRule="auto"/>
      </w:pPr>
    </w:p>
    <w:p w14:paraId="3D5D7223">
      <w:pPr>
        <w:pStyle w:val="10"/>
        <w:spacing w:line="291" w:lineRule="auto"/>
      </w:pPr>
    </w:p>
    <w:p w14:paraId="66168731">
      <w:pPr>
        <w:pStyle w:val="10"/>
        <w:spacing w:line="291" w:lineRule="auto"/>
      </w:pPr>
      <w:r>
        <w:drawing>
          <wp:anchor distT="0" distB="0" distL="0" distR="0" simplePos="0" relativeHeight="251663360" behindDoc="0" locked="0" layoutInCell="1" allowOverlap="1">
            <wp:simplePos x="0" y="0"/>
            <wp:positionH relativeFrom="column">
              <wp:posOffset>5549265</wp:posOffset>
            </wp:positionH>
            <wp:positionV relativeFrom="paragraph">
              <wp:posOffset>43815</wp:posOffset>
            </wp:positionV>
            <wp:extent cx="749300" cy="723900"/>
            <wp:effectExtent l="0" t="0" r="1270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749302" cy="723937"/>
                    </a:xfrm>
                    <a:prstGeom prst="rect">
                      <a:avLst/>
                    </a:prstGeom>
                  </pic:spPr>
                </pic:pic>
              </a:graphicData>
            </a:graphic>
          </wp:anchor>
        </w:drawing>
      </w:r>
    </w:p>
    <w:p w14:paraId="198D6624">
      <w:pPr>
        <w:spacing w:line="188" w:lineRule="auto"/>
        <w:rPr>
          <w:rFonts w:ascii="Times New Roman" w:hAnsi="Times New Roman" w:eastAsia="Times New Roman" w:cs="Times New Roman"/>
          <w:sz w:val="15"/>
          <w:szCs w:val="15"/>
        </w:rPr>
        <w:sectPr>
          <w:headerReference r:id="rId6" w:type="default"/>
          <w:pgSz w:w="11900" w:h="16820"/>
          <w:pgMar w:top="1349" w:right="240" w:bottom="400" w:left="1740" w:header="669" w:footer="0" w:gutter="0"/>
          <w:pgNumType w:fmt="decimal"/>
          <w:cols w:space="720" w:num="1"/>
        </w:sectPr>
      </w:pPr>
    </w:p>
    <w:p w14:paraId="78E32FED">
      <w:pPr>
        <w:keepNext w:val="0"/>
        <w:keepLines w:val="0"/>
        <w:pageBreakBefore w:val="0"/>
        <w:widowControl w:val="0"/>
        <w:kinsoku/>
        <w:wordWrap/>
        <w:overflowPunct/>
        <w:topLinePunct w:val="0"/>
        <w:autoSpaceDE/>
        <w:autoSpaceDN/>
        <w:bidi w:val="0"/>
        <w:adjustRightInd/>
        <w:snapToGrid/>
        <w:spacing w:line="365" w:lineRule="auto"/>
        <w:ind w:left="40" w:right="40" w:firstLine="488"/>
        <w:textAlignment w:val="auto"/>
        <w:rPr>
          <w:rFonts w:ascii="宋体" w:hAnsi="宋体" w:eastAsia="宋体" w:cs="宋体"/>
          <w:spacing w:val="7"/>
          <w:sz w:val="24"/>
          <w:szCs w:val="24"/>
        </w:rPr>
      </w:pPr>
      <w:bookmarkStart w:id="17" w:name="_GoBack"/>
      <w:bookmarkEnd w:id="17"/>
      <w:r>
        <w:rPr>
          <w:rFonts w:ascii="宋体" w:hAnsi="宋体" w:eastAsia="宋体" w:cs="宋体"/>
          <w:spacing w:val="7"/>
          <w:sz w:val="24"/>
          <w:szCs w:val="24"/>
        </w:rPr>
        <w:t>(此页无正文，为《霸州舜丰村镇银行股份有限公司2024年度财务报表审计报告书》(新联谊审字(2025)第100509号之签字盖章页。)</w:t>
      </w:r>
    </w:p>
    <w:p w14:paraId="0FB92E57">
      <w:pPr>
        <w:pStyle w:val="10"/>
        <w:spacing w:line="251" w:lineRule="auto"/>
      </w:pPr>
    </w:p>
    <w:p w14:paraId="5ECB8273">
      <w:pPr>
        <w:pStyle w:val="10"/>
        <w:spacing w:line="251" w:lineRule="auto"/>
      </w:pPr>
    </w:p>
    <w:p w14:paraId="1B59CA54">
      <w:pPr>
        <w:pStyle w:val="10"/>
        <w:spacing w:line="251" w:lineRule="auto"/>
      </w:pPr>
    </w:p>
    <w:p w14:paraId="06A03366">
      <w:pPr>
        <w:pStyle w:val="10"/>
        <w:spacing w:line="251" w:lineRule="auto"/>
      </w:pPr>
    </w:p>
    <w:p w14:paraId="33404C64">
      <w:pPr>
        <w:pStyle w:val="10"/>
        <w:spacing w:line="251" w:lineRule="auto"/>
      </w:pPr>
    </w:p>
    <w:p w14:paraId="1C98A842">
      <w:pPr>
        <w:pStyle w:val="10"/>
        <w:spacing w:line="251" w:lineRule="auto"/>
      </w:pPr>
    </w:p>
    <w:p w14:paraId="3DF7042A">
      <w:pPr>
        <w:pStyle w:val="10"/>
        <w:spacing w:line="251" w:lineRule="auto"/>
      </w:pPr>
    </w:p>
    <w:p w14:paraId="5F42C29E">
      <w:pPr>
        <w:snapToGrid w:val="0"/>
        <w:spacing w:before="31" w:beforeLines="10" w:after="31" w:afterLines="10" w:line="720" w:lineRule="auto"/>
        <w:ind w:left="1320" w:hanging="1320" w:hangingChars="550"/>
        <w:rPr>
          <w:rFonts w:hint="eastAsia" w:ascii="宋体" w:hAnsi="宋体" w:cs="宋体"/>
          <w:sz w:val="24"/>
          <w:szCs w:val="24"/>
        </w:rPr>
      </w:pPr>
      <w:r>
        <w:rPr>
          <w:rFonts w:hint="eastAsia" w:ascii="宋体" w:hAnsi="宋体" w:cs="宋体"/>
          <w:sz w:val="24"/>
          <w:szCs w:val="24"/>
        </w:rPr>
        <w:t xml:space="preserve">新联谊会计师事务所（特殊普通合伙）        中国注册会计师：         </w:t>
      </w:r>
    </w:p>
    <w:p w14:paraId="7E149F0D">
      <w:pPr>
        <w:snapToGrid w:val="0"/>
        <w:spacing w:before="31" w:beforeLines="10" w:after="31" w:afterLines="10" w:line="720" w:lineRule="auto"/>
        <w:ind w:firstLine="1320" w:firstLineChars="550"/>
        <w:rPr>
          <w:rFonts w:hint="eastAsia" w:ascii="宋体" w:hAnsi="宋体" w:cs="宋体"/>
          <w:sz w:val="24"/>
          <w:szCs w:val="24"/>
        </w:rPr>
      </w:pPr>
      <w:r>
        <w:rPr>
          <w:rFonts w:hint="eastAsia" w:ascii="宋体" w:hAnsi="宋体" w:cs="宋体"/>
          <w:sz w:val="24"/>
          <w:szCs w:val="24"/>
        </w:rPr>
        <w:t xml:space="preserve">中国·济南                     中国注册会计师： </w:t>
      </w:r>
    </w:p>
    <w:p w14:paraId="451A9186">
      <w:pPr>
        <w:pStyle w:val="10"/>
        <w:spacing w:line="299" w:lineRule="auto"/>
      </w:pPr>
    </w:p>
    <w:p w14:paraId="0464A5F9">
      <w:pPr>
        <w:spacing w:before="78" w:line="225" w:lineRule="auto"/>
        <w:ind w:left="5289"/>
        <w:rPr>
          <w:rFonts w:ascii="楷体" w:hAnsi="楷体" w:eastAsia="楷体" w:cs="楷体"/>
          <w:sz w:val="24"/>
          <w:szCs w:val="24"/>
        </w:rPr>
      </w:pPr>
      <w:r>
        <w:rPr>
          <w:rFonts w:ascii="楷体" w:hAnsi="楷体" w:eastAsia="楷体" w:cs="楷体"/>
          <w:spacing w:val="31"/>
          <w:sz w:val="24"/>
          <w:szCs w:val="24"/>
        </w:rPr>
        <w:t>2025年4月15日</w:t>
      </w:r>
    </w:p>
    <w:p w14:paraId="2A0037D0">
      <w:pPr>
        <w:pStyle w:val="10"/>
        <w:spacing w:line="243" w:lineRule="auto"/>
      </w:pPr>
    </w:p>
    <w:p w14:paraId="09EDE065">
      <w:pPr>
        <w:pStyle w:val="10"/>
        <w:spacing w:line="243" w:lineRule="auto"/>
      </w:pPr>
    </w:p>
    <w:p w14:paraId="7CC5D797">
      <w:pPr>
        <w:autoSpaceDE w:val="0"/>
        <w:autoSpaceDN w:val="0"/>
        <w:adjustRightInd w:val="0"/>
        <w:spacing w:line="480" w:lineRule="exact"/>
        <w:jc w:val="center"/>
        <w:rPr>
          <w:rFonts w:hint="eastAsia" w:cs="创艺简标宋" w:asciiTheme="minorEastAsia" w:hAnsiTheme="minorEastAsia" w:eastAsiaTheme="minorEastAsia"/>
          <w:b/>
          <w:kern w:val="0"/>
          <w:sz w:val="32"/>
          <w:szCs w:val="32"/>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BE6F56A">
      <w:pPr>
        <w:autoSpaceDE w:val="0"/>
        <w:autoSpaceDN w:val="0"/>
        <w:adjustRightInd w:val="0"/>
        <w:spacing w:line="480" w:lineRule="exact"/>
        <w:jc w:val="center"/>
        <w:rPr>
          <w:rFonts w:cs="创艺简标宋" w:asciiTheme="minorEastAsia" w:hAnsiTheme="minorEastAsia" w:eastAsiaTheme="minorEastAsia"/>
          <w:b/>
          <w:kern w:val="0"/>
          <w:sz w:val="32"/>
          <w:szCs w:val="32"/>
          <w:highlight w:val="none"/>
        </w:rPr>
      </w:pPr>
      <w:r>
        <w:rPr>
          <w:rFonts w:hint="eastAsia" w:cs="创艺简标宋" w:asciiTheme="minorEastAsia" w:hAnsiTheme="minorEastAsia" w:eastAsiaTheme="minorEastAsia"/>
          <w:b/>
          <w:kern w:val="0"/>
          <w:sz w:val="32"/>
          <w:szCs w:val="32"/>
          <w:highlight w:val="none"/>
        </w:rPr>
        <w:t>霸州舜丰村镇银行股份有限公司</w:t>
      </w:r>
    </w:p>
    <w:p w14:paraId="36969042">
      <w:pPr>
        <w:autoSpaceDE w:val="0"/>
        <w:autoSpaceDN w:val="0"/>
        <w:adjustRightInd w:val="0"/>
        <w:spacing w:line="480" w:lineRule="exact"/>
        <w:jc w:val="center"/>
        <w:rPr>
          <w:rFonts w:asciiTheme="minorEastAsia" w:hAnsiTheme="minorEastAsia" w:eastAsiaTheme="minorEastAsia"/>
          <w:b/>
          <w:kern w:val="0"/>
          <w:sz w:val="32"/>
          <w:szCs w:val="32"/>
          <w:highlight w:val="none"/>
        </w:rPr>
      </w:pPr>
      <w:r>
        <w:rPr>
          <w:rFonts w:hint="eastAsia" w:cs="创艺简标宋" w:asciiTheme="minorEastAsia" w:hAnsiTheme="minorEastAsia" w:eastAsiaTheme="minorEastAsia"/>
          <w:b/>
          <w:kern w:val="0"/>
          <w:sz w:val="32"/>
          <w:szCs w:val="32"/>
          <w:highlight w:val="none"/>
        </w:rPr>
        <w:t>财务报表附注</w:t>
      </w:r>
    </w:p>
    <w:p w14:paraId="22F96E87">
      <w:pPr>
        <w:autoSpaceDE w:val="0"/>
        <w:autoSpaceDN w:val="0"/>
        <w:adjustRightInd w:val="0"/>
        <w:spacing w:line="480" w:lineRule="exact"/>
        <w:jc w:val="center"/>
        <w:rPr>
          <w:rFonts w:ascii="宋体" w:hAnsi="宋体"/>
          <w:color w:val="000000"/>
          <w:kern w:val="0"/>
          <w:sz w:val="24"/>
          <w:szCs w:val="24"/>
          <w:highlight w:val="none"/>
        </w:rPr>
      </w:pPr>
    </w:p>
    <w:p w14:paraId="2A814350">
      <w:pPr>
        <w:pStyle w:val="20"/>
        <w:numPr>
          <w:ilvl w:val="0"/>
          <w:numId w:val="0"/>
        </w:numPr>
        <w:spacing w:before="0" w:after="0" w:line="480" w:lineRule="exact"/>
        <w:ind w:firstLine="562" w:firstLineChars="200"/>
        <w:jc w:val="both"/>
        <w:rPr>
          <w:rFonts w:ascii="宋体" w:hAnsi="宋体"/>
          <w:sz w:val="28"/>
          <w:szCs w:val="28"/>
          <w:highlight w:val="none"/>
        </w:rPr>
      </w:pPr>
      <w:r>
        <w:rPr>
          <w:rFonts w:hint="eastAsia" w:ascii="宋体" w:hAnsi="宋体" w:cs="宋体"/>
          <w:sz w:val="28"/>
          <w:szCs w:val="28"/>
          <w:highlight w:val="none"/>
          <w:lang w:val="en-US" w:eastAsia="zh-CN"/>
        </w:rPr>
        <w:t>一、</w:t>
      </w:r>
      <w:r>
        <w:rPr>
          <w:rFonts w:hint="eastAsia" w:ascii="宋体" w:hAnsi="宋体" w:cs="宋体"/>
          <w:sz w:val="28"/>
          <w:szCs w:val="28"/>
          <w:highlight w:val="none"/>
        </w:rPr>
        <w:t>公司的基本情况</w:t>
      </w:r>
    </w:p>
    <w:p w14:paraId="20235B5E">
      <w:pPr>
        <w:pStyle w:val="35"/>
        <w:adjustRightInd/>
        <w:spacing w:line="480" w:lineRule="exact"/>
        <w:ind w:firstLine="482" w:firstLineChars="200"/>
        <w:jc w:val="both"/>
        <w:rPr>
          <w:rFonts w:ascii="宋体" w:hAnsi="宋体" w:eastAsia="宋体" w:cs="宋体"/>
          <w:b/>
          <w:bCs/>
          <w:color w:val="auto"/>
          <w:kern w:val="2"/>
          <w:highlight w:val="none"/>
        </w:rPr>
      </w:pPr>
      <w:r>
        <w:rPr>
          <w:rFonts w:hint="eastAsia" w:ascii="宋体" w:hAnsi="宋体" w:eastAsia="宋体" w:cs="宋体"/>
          <w:b/>
          <w:color w:val="auto"/>
          <w:kern w:val="2"/>
          <w:highlight w:val="none"/>
        </w:rPr>
        <w:t>（一）</w:t>
      </w:r>
      <w:r>
        <w:rPr>
          <w:rFonts w:hint="eastAsia" w:ascii="宋体" w:hAnsi="宋体" w:eastAsia="宋体" w:cs="宋体"/>
          <w:b/>
          <w:bCs/>
          <w:color w:val="auto"/>
          <w:kern w:val="2"/>
          <w:highlight w:val="none"/>
        </w:rPr>
        <w:t>历史沿革</w:t>
      </w:r>
    </w:p>
    <w:p w14:paraId="219A3FF4">
      <w:pPr>
        <w:spacing w:line="480" w:lineRule="exact"/>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霸州舜丰村镇银行股份有限公司(以下简称“本村镇银行”)经中国银行业监督管理委员会河北监管局冀银监复[2014]66号《河北银监局关于筹建霸州舜丰村镇银行股份有限公司的批复》批准，批准筹建霸州舜丰村镇银行股份有限公司。设立登记的注册资本为人民币5</w:t>
      </w:r>
      <w:r>
        <w:rPr>
          <w:rFonts w:ascii="宋体" w:hAnsi="宋体" w:cs="宋体"/>
          <w:sz w:val="24"/>
          <w:szCs w:val="24"/>
          <w:highlight w:val="none"/>
        </w:rPr>
        <w:t>0</w:t>
      </w:r>
      <w:r>
        <w:rPr>
          <w:rFonts w:hint="eastAsia" w:ascii="宋体" w:hAnsi="宋体" w:cs="宋体"/>
          <w:sz w:val="24"/>
          <w:szCs w:val="24"/>
          <w:highlight w:val="none"/>
        </w:rPr>
        <w:t>00万元，其中公司法人股东8户，出资</w:t>
      </w:r>
      <w:r>
        <w:rPr>
          <w:rFonts w:ascii="宋体" w:hAnsi="宋体" w:cs="宋体"/>
          <w:sz w:val="24"/>
          <w:szCs w:val="24"/>
          <w:highlight w:val="none"/>
        </w:rPr>
        <w:t>48</w:t>
      </w:r>
      <w:r>
        <w:rPr>
          <w:rFonts w:hint="eastAsia" w:ascii="宋体" w:hAnsi="宋体" w:cs="宋体"/>
          <w:sz w:val="24"/>
          <w:szCs w:val="24"/>
          <w:highlight w:val="none"/>
        </w:rPr>
        <w:t>50</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占注册资本的97%；自然人股东2户，出资150</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占注册资本的3%。2014年10月22日，经中国银行业监督管理委员会廊坊监管分局批准持有S0058H313100001号中华人民共和国金融许可证。2014年10月30日，经廊坊市工商行政管理局核准颁发注册号为131000</w:t>
      </w:r>
      <w:r>
        <w:rPr>
          <w:rFonts w:hint="eastAsia" w:ascii="宋体" w:hAnsi="宋体" w:cs="宋体"/>
          <w:sz w:val="24"/>
          <w:szCs w:val="24"/>
          <w:highlight w:val="none"/>
          <w:lang w:val="en-US" w:eastAsia="zh-CN"/>
        </w:rPr>
        <w:t>0</w:t>
      </w:r>
      <w:r>
        <w:rPr>
          <w:rFonts w:hint="eastAsia" w:ascii="宋体" w:hAnsi="宋体" w:cs="宋体"/>
          <w:sz w:val="24"/>
          <w:szCs w:val="24"/>
          <w:highlight w:val="none"/>
        </w:rPr>
        <w:t>00042721《营业执照》,2016年5月12日廊坊市工商行政管理局换发统一社会信用代码91131000319889331R营业执照。2</w:t>
      </w:r>
      <w:r>
        <w:rPr>
          <w:rFonts w:ascii="宋体" w:hAnsi="宋体" w:cs="宋体"/>
          <w:sz w:val="24"/>
          <w:szCs w:val="24"/>
          <w:highlight w:val="none"/>
        </w:rPr>
        <w:t>021</w:t>
      </w:r>
      <w:r>
        <w:rPr>
          <w:rFonts w:hint="eastAsia" w:ascii="宋体" w:hAnsi="宋体" w:cs="宋体"/>
          <w:sz w:val="24"/>
          <w:szCs w:val="24"/>
          <w:highlight w:val="none"/>
        </w:rPr>
        <w:t>年增加注册资本2</w:t>
      </w:r>
      <w:r>
        <w:rPr>
          <w:rFonts w:ascii="宋体" w:hAnsi="宋体" w:cs="宋体"/>
          <w:sz w:val="24"/>
          <w:szCs w:val="24"/>
          <w:highlight w:val="none"/>
        </w:rPr>
        <w:t>00</w:t>
      </w:r>
      <w:r>
        <w:rPr>
          <w:rFonts w:hint="eastAsia" w:ascii="宋体" w:hAnsi="宋体" w:cs="宋体"/>
          <w:sz w:val="24"/>
          <w:szCs w:val="24"/>
          <w:highlight w:val="none"/>
        </w:rPr>
        <w:t>万元，由未分配利润转增股本，转增基准日期为2</w:t>
      </w:r>
      <w:r>
        <w:rPr>
          <w:rFonts w:ascii="宋体" w:hAnsi="宋体" w:cs="宋体"/>
          <w:sz w:val="24"/>
          <w:szCs w:val="24"/>
          <w:highlight w:val="none"/>
        </w:rPr>
        <w:t>021</w:t>
      </w:r>
      <w:r>
        <w:rPr>
          <w:rFonts w:hint="eastAsia" w:ascii="宋体" w:hAnsi="宋体" w:cs="宋体"/>
          <w:sz w:val="24"/>
          <w:szCs w:val="24"/>
          <w:highlight w:val="none"/>
        </w:rPr>
        <w:t>年</w:t>
      </w:r>
      <w:r>
        <w:rPr>
          <w:rFonts w:ascii="宋体" w:hAnsi="宋体" w:cs="宋体"/>
          <w:sz w:val="24"/>
          <w:szCs w:val="24"/>
          <w:highlight w:val="none"/>
        </w:rPr>
        <w:t>9</w:t>
      </w:r>
      <w:r>
        <w:rPr>
          <w:rFonts w:hint="eastAsia" w:ascii="宋体" w:hAnsi="宋体" w:cs="宋体"/>
          <w:sz w:val="24"/>
          <w:szCs w:val="24"/>
          <w:highlight w:val="none"/>
        </w:rPr>
        <w:t>月3</w:t>
      </w:r>
      <w:r>
        <w:rPr>
          <w:rFonts w:ascii="宋体" w:hAnsi="宋体" w:cs="宋体"/>
          <w:sz w:val="24"/>
          <w:szCs w:val="24"/>
          <w:highlight w:val="none"/>
        </w:rPr>
        <w:t>0</w:t>
      </w:r>
      <w:r>
        <w:rPr>
          <w:rFonts w:hint="eastAsia" w:ascii="宋体" w:hAnsi="宋体" w:cs="宋体"/>
          <w:sz w:val="24"/>
          <w:szCs w:val="24"/>
          <w:highlight w:val="none"/>
        </w:rPr>
        <w:t>日，变更后的注册资本为5</w:t>
      </w:r>
      <w:r>
        <w:rPr>
          <w:rFonts w:ascii="宋体" w:hAnsi="宋体" w:cs="宋体"/>
          <w:sz w:val="24"/>
          <w:szCs w:val="24"/>
          <w:highlight w:val="none"/>
        </w:rPr>
        <w:t>200</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,2022年增加注册资本260万元，由未分配利润转增股本，转增基准日期为2022年12月1日，变更后的注册资本为5460万元</w:t>
      </w:r>
      <w:r>
        <w:rPr>
          <w:rFonts w:hint="eastAsia" w:ascii="宋体" w:hAnsi="宋体" w:cs="宋体"/>
          <w:sz w:val="24"/>
          <w:szCs w:val="24"/>
          <w:highlight w:val="none"/>
        </w:rPr>
        <w:t>。</w:t>
      </w:r>
    </w:p>
    <w:p w14:paraId="660F3488">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本村镇银行住所：河北省廊坊市霸州市市政府南迎宾山水小区西沿街房。</w:t>
      </w:r>
    </w:p>
    <w:p w14:paraId="754426BB">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经营范围：吸收公众存款；发放短期、中期和长期贷款；办理国内结算；办</w:t>
      </w:r>
    </w:p>
    <w:p w14:paraId="72DC4ABB">
      <w:pPr>
        <w:spacing w:line="480" w:lineRule="exact"/>
        <w:jc w:val="left"/>
        <w:rPr>
          <w:rFonts w:ascii="宋体" w:hAnsi="宋体" w:cs="宋体"/>
          <w:sz w:val="24"/>
          <w:szCs w:val="24"/>
          <w:highlight w:val="none"/>
        </w:rPr>
      </w:pPr>
      <w:r>
        <w:rPr>
          <w:rFonts w:hint="eastAsia" w:ascii="宋体" w:hAnsi="宋体" w:cs="宋体"/>
          <w:sz w:val="24"/>
          <w:szCs w:val="24"/>
          <w:highlight w:val="none"/>
        </w:rPr>
        <w:t>理票据承兑与贴现；从事同业拆借；从事银行卡业务；代理发行、代理兑付、承</w:t>
      </w:r>
    </w:p>
    <w:p w14:paraId="316399F1">
      <w:pPr>
        <w:spacing w:line="480" w:lineRule="exact"/>
        <w:jc w:val="left"/>
        <w:rPr>
          <w:rFonts w:ascii="宋体" w:hAnsi="宋体" w:cs="宋体"/>
          <w:sz w:val="24"/>
          <w:szCs w:val="24"/>
          <w:highlight w:val="none"/>
        </w:rPr>
      </w:pPr>
      <w:r>
        <w:rPr>
          <w:rFonts w:hint="eastAsia" w:ascii="宋体" w:hAnsi="宋体" w:cs="宋体"/>
          <w:sz w:val="24"/>
          <w:szCs w:val="24"/>
          <w:highlight w:val="none"/>
        </w:rPr>
        <w:t>销政府债券；代理收付款项业务，经银行业监督管理机构批准的其他业务。</w:t>
      </w:r>
    </w:p>
    <w:p w14:paraId="1D7BB730">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本村镇银行母公司为山东诸城农村商业银行股份有限公司，持有本村镇银行5</w:t>
      </w:r>
      <w:r>
        <w:rPr>
          <w:rFonts w:ascii="宋体" w:hAnsi="宋体" w:cs="宋体"/>
          <w:sz w:val="24"/>
          <w:szCs w:val="24"/>
          <w:highlight w:val="none"/>
        </w:rPr>
        <w:t>1</w:t>
      </w:r>
      <w:r>
        <w:rPr>
          <w:rFonts w:hint="eastAsia" w:ascii="宋体" w:hAnsi="宋体" w:cs="宋体"/>
          <w:sz w:val="24"/>
          <w:szCs w:val="24"/>
          <w:highlight w:val="none"/>
        </w:rPr>
        <w:t>%的股份。</w:t>
      </w:r>
    </w:p>
    <w:p w14:paraId="20ECF505">
      <w:pPr>
        <w:spacing w:line="480" w:lineRule="exact"/>
        <w:ind w:firstLine="482" w:firstLineChars="200"/>
        <w:jc w:val="left"/>
        <w:rPr>
          <w:rFonts w:ascii="宋体" w:hAnsi="宋体"/>
          <w:b/>
          <w:kern w:val="0"/>
          <w:sz w:val="24"/>
          <w:highlight w:val="none"/>
        </w:rPr>
      </w:pPr>
      <w:r>
        <w:rPr>
          <w:rFonts w:hint="eastAsia" w:ascii="宋体" w:hAnsi="宋体" w:cs="宋体"/>
          <w:b/>
          <w:sz w:val="24"/>
          <w:szCs w:val="24"/>
          <w:highlight w:val="none"/>
        </w:rPr>
        <w:t>（二）</w:t>
      </w:r>
      <w:r>
        <w:rPr>
          <w:rFonts w:hint="eastAsia" w:ascii="宋体" w:hAnsi="宋体"/>
          <w:b/>
          <w:kern w:val="0"/>
          <w:sz w:val="24"/>
          <w:highlight w:val="none"/>
        </w:rPr>
        <w:t>组织机构设置</w:t>
      </w:r>
    </w:p>
    <w:p w14:paraId="17C027BE">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截至202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 xml:space="preserve">年12月31日，本村镇银行下辖5家营业网点，其中营业部1家，支行4家，具体情况明细如下： </w:t>
      </w:r>
    </w:p>
    <w:tbl>
      <w:tblPr>
        <w:tblStyle w:val="22"/>
        <w:tblW w:w="813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96"/>
        <w:gridCol w:w="4204"/>
        <w:gridCol w:w="3236"/>
      </w:tblGrid>
      <w:tr w14:paraId="7E411E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2" w:hRule="exact"/>
          <w:tblHeader/>
          <w:jc w:val="center"/>
        </w:trPr>
        <w:tc>
          <w:tcPr>
            <w:tcW w:w="696" w:type="dxa"/>
            <w:tcBorders>
              <w:top w:val="single" w:color="auto" w:sz="12" w:space="0"/>
            </w:tcBorders>
            <w:vAlign w:val="center"/>
          </w:tcPr>
          <w:p w14:paraId="195B0F11">
            <w:pPr>
              <w:keepNext w:val="0"/>
              <w:keepLines w:val="0"/>
              <w:suppressLineNumbers w:val="0"/>
              <w:spacing w:before="0" w:beforeAutospacing="0" w:after="0" w:afterAutospacing="0"/>
              <w:ind w:left="0" w:right="0"/>
              <w:rPr>
                <w:rFonts w:hint="default" w:ascii="宋体" w:hAnsi="宋体" w:cs="宋体"/>
                <w:sz w:val="18"/>
                <w:szCs w:val="24"/>
                <w:highlight w:val="none"/>
              </w:rPr>
            </w:pPr>
            <w:r>
              <w:rPr>
                <w:rFonts w:hint="eastAsia" w:ascii="宋体" w:hAnsi="宋体" w:cs="宋体"/>
                <w:sz w:val="18"/>
                <w:szCs w:val="24"/>
                <w:highlight w:val="none"/>
              </w:rPr>
              <w:t>序号</w:t>
            </w:r>
          </w:p>
        </w:tc>
        <w:tc>
          <w:tcPr>
            <w:tcW w:w="4204" w:type="dxa"/>
            <w:tcBorders>
              <w:top w:val="single" w:color="auto" w:sz="12" w:space="0"/>
            </w:tcBorders>
            <w:vAlign w:val="center"/>
          </w:tcPr>
          <w:p w14:paraId="79E0ABDB">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eastAsia" w:ascii="宋体" w:hAnsi="宋体" w:cs="宋体"/>
                <w:sz w:val="18"/>
                <w:szCs w:val="24"/>
                <w:highlight w:val="none"/>
              </w:rPr>
              <w:t>机构名称（分支行）</w:t>
            </w:r>
          </w:p>
        </w:tc>
        <w:tc>
          <w:tcPr>
            <w:tcW w:w="3236" w:type="dxa"/>
            <w:tcBorders>
              <w:top w:val="single" w:color="auto" w:sz="12" w:space="0"/>
            </w:tcBorders>
            <w:vAlign w:val="center"/>
          </w:tcPr>
          <w:p w14:paraId="5A04FE39">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eastAsia" w:ascii="宋体" w:hAnsi="宋体" w:cs="宋体"/>
                <w:sz w:val="18"/>
                <w:szCs w:val="24"/>
                <w:highlight w:val="none"/>
              </w:rPr>
              <w:t>机构地址</w:t>
            </w:r>
          </w:p>
        </w:tc>
      </w:tr>
      <w:tr w14:paraId="01D6D0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696" w:type="dxa"/>
            <w:vAlign w:val="center"/>
          </w:tcPr>
          <w:p w14:paraId="487DD5CA">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default" w:ascii="宋体" w:hAnsi="宋体" w:cs="宋体"/>
                <w:sz w:val="18"/>
                <w:szCs w:val="24"/>
                <w:highlight w:val="none"/>
              </w:rPr>
              <w:t>1</w:t>
            </w:r>
          </w:p>
        </w:tc>
        <w:tc>
          <w:tcPr>
            <w:tcW w:w="4204" w:type="dxa"/>
            <w:vAlign w:val="center"/>
          </w:tcPr>
          <w:p w14:paraId="3D96274C">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霸州舜丰村镇银行股份有限公司本部及营业部</w:t>
            </w:r>
          </w:p>
        </w:tc>
        <w:tc>
          <w:tcPr>
            <w:tcW w:w="3236" w:type="dxa"/>
            <w:vAlign w:val="center"/>
          </w:tcPr>
          <w:p w14:paraId="30EA58FA">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霸州市政府迎宾山水小区西沿街商铺</w:t>
            </w:r>
          </w:p>
        </w:tc>
      </w:tr>
      <w:tr w14:paraId="0DA185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1" w:hRule="exact"/>
          <w:jc w:val="center"/>
        </w:trPr>
        <w:tc>
          <w:tcPr>
            <w:tcW w:w="696" w:type="dxa"/>
            <w:vAlign w:val="center"/>
          </w:tcPr>
          <w:p w14:paraId="7EBE5050">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default" w:ascii="宋体" w:hAnsi="宋体" w:cs="宋体"/>
                <w:sz w:val="18"/>
                <w:szCs w:val="24"/>
                <w:highlight w:val="none"/>
              </w:rPr>
              <w:t>2</w:t>
            </w:r>
          </w:p>
        </w:tc>
        <w:tc>
          <w:tcPr>
            <w:tcW w:w="4204" w:type="dxa"/>
            <w:vAlign w:val="center"/>
          </w:tcPr>
          <w:p w14:paraId="55291981">
            <w:pPr>
              <w:keepNext w:val="0"/>
              <w:keepLines w:val="0"/>
              <w:suppressLineNumbers w:val="0"/>
              <w:spacing w:before="0" w:beforeAutospacing="0" w:after="0" w:afterAutospacing="0"/>
              <w:ind w:left="0" w:right="420"/>
              <w:jc w:val="left"/>
              <w:rPr>
                <w:rFonts w:hint="default" w:ascii="宋体" w:hAnsi="宋体" w:cs="宋体"/>
                <w:sz w:val="18"/>
                <w:szCs w:val="24"/>
                <w:highlight w:val="none"/>
              </w:rPr>
            </w:pPr>
            <w:r>
              <w:rPr>
                <w:rFonts w:hint="eastAsia" w:ascii="宋体" w:hAnsi="宋体" w:cs="宋体"/>
                <w:sz w:val="18"/>
                <w:szCs w:val="24"/>
                <w:highlight w:val="none"/>
              </w:rPr>
              <w:t>霸州舜丰村镇银行股份有限公司胜芳支行</w:t>
            </w:r>
          </w:p>
        </w:tc>
        <w:tc>
          <w:tcPr>
            <w:tcW w:w="3236" w:type="dxa"/>
            <w:vAlign w:val="center"/>
          </w:tcPr>
          <w:p w14:paraId="1C467DA3">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胜芳镇芳津道530号八中东临</w:t>
            </w:r>
          </w:p>
        </w:tc>
      </w:tr>
      <w:tr w14:paraId="4FC480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1" w:hRule="exact"/>
          <w:jc w:val="center"/>
        </w:trPr>
        <w:tc>
          <w:tcPr>
            <w:tcW w:w="696" w:type="dxa"/>
            <w:vAlign w:val="center"/>
          </w:tcPr>
          <w:p w14:paraId="44394FD2">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eastAsia" w:ascii="宋体" w:hAnsi="宋体" w:cs="宋体"/>
                <w:sz w:val="18"/>
                <w:szCs w:val="24"/>
                <w:highlight w:val="none"/>
              </w:rPr>
              <w:t>3</w:t>
            </w:r>
          </w:p>
        </w:tc>
        <w:tc>
          <w:tcPr>
            <w:tcW w:w="4204" w:type="dxa"/>
            <w:vAlign w:val="center"/>
          </w:tcPr>
          <w:p w14:paraId="168E9AD0">
            <w:pPr>
              <w:keepNext w:val="0"/>
              <w:keepLines w:val="0"/>
              <w:suppressLineNumbers w:val="0"/>
              <w:spacing w:before="0" w:beforeAutospacing="0" w:after="0" w:afterAutospacing="0"/>
              <w:ind w:left="0" w:right="420"/>
              <w:jc w:val="left"/>
              <w:rPr>
                <w:rFonts w:hint="default" w:ascii="宋体" w:hAnsi="宋体" w:cs="宋体"/>
                <w:sz w:val="18"/>
                <w:szCs w:val="24"/>
                <w:highlight w:val="none"/>
              </w:rPr>
            </w:pPr>
            <w:r>
              <w:rPr>
                <w:rFonts w:hint="eastAsia" w:ascii="宋体" w:hAnsi="宋体" w:cs="宋体"/>
                <w:sz w:val="18"/>
                <w:szCs w:val="24"/>
                <w:highlight w:val="none"/>
              </w:rPr>
              <w:t>霸州舜丰村镇银行股份有限公司南孟支行</w:t>
            </w:r>
          </w:p>
        </w:tc>
        <w:tc>
          <w:tcPr>
            <w:tcW w:w="3236" w:type="dxa"/>
            <w:vAlign w:val="center"/>
          </w:tcPr>
          <w:p w14:paraId="5D57E3F6">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南孟镇南孟村胜利道92号</w:t>
            </w:r>
          </w:p>
        </w:tc>
      </w:tr>
      <w:tr w14:paraId="2ED364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4" w:hRule="exact"/>
          <w:jc w:val="center"/>
        </w:trPr>
        <w:tc>
          <w:tcPr>
            <w:tcW w:w="696" w:type="dxa"/>
            <w:vAlign w:val="center"/>
          </w:tcPr>
          <w:p w14:paraId="7A562741">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eastAsia" w:ascii="宋体" w:hAnsi="宋体" w:cs="宋体"/>
                <w:sz w:val="18"/>
                <w:szCs w:val="24"/>
                <w:highlight w:val="none"/>
              </w:rPr>
              <w:t>4</w:t>
            </w:r>
          </w:p>
        </w:tc>
        <w:tc>
          <w:tcPr>
            <w:tcW w:w="4204" w:type="dxa"/>
            <w:vAlign w:val="center"/>
          </w:tcPr>
          <w:p w14:paraId="51DD3639">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霸州舜丰村镇银行股份有限公司煎茶铺支行</w:t>
            </w:r>
          </w:p>
        </w:tc>
        <w:tc>
          <w:tcPr>
            <w:tcW w:w="3236" w:type="dxa"/>
            <w:vAlign w:val="center"/>
          </w:tcPr>
          <w:p w14:paraId="5B4C48C4">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煎茶铺东一街中心街72号</w:t>
            </w:r>
          </w:p>
        </w:tc>
      </w:tr>
      <w:tr w14:paraId="76EAE4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4" w:hRule="exact"/>
          <w:jc w:val="center"/>
        </w:trPr>
        <w:tc>
          <w:tcPr>
            <w:tcW w:w="696" w:type="dxa"/>
            <w:vAlign w:val="center"/>
          </w:tcPr>
          <w:p w14:paraId="33A42B1E">
            <w:pPr>
              <w:keepNext w:val="0"/>
              <w:keepLines w:val="0"/>
              <w:suppressLineNumbers w:val="0"/>
              <w:spacing w:before="0" w:beforeAutospacing="0" w:after="0" w:afterAutospacing="0"/>
              <w:ind w:left="0" w:right="0"/>
              <w:jc w:val="center"/>
              <w:rPr>
                <w:rFonts w:hint="default" w:ascii="宋体" w:hAnsi="宋体" w:cs="宋体"/>
                <w:sz w:val="18"/>
                <w:szCs w:val="24"/>
                <w:highlight w:val="none"/>
              </w:rPr>
            </w:pPr>
            <w:r>
              <w:rPr>
                <w:rFonts w:hint="eastAsia" w:ascii="宋体" w:hAnsi="宋体" w:cs="宋体"/>
                <w:sz w:val="18"/>
                <w:szCs w:val="24"/>
                <w:highlight w:val="none"/>
              </w:rPr>
              <w:t>5</w:t>
            </w:r>
          </w:p>
        </w:tc>
        <w:tc>
          <w:tcPr>
            <w:tcW w:w="4204" w:type="dxa"/>
            <w:vAlign w:val="center"/>
          </w:tcPr>
          <w:p w14:paraId="1EBB2C01">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霸州舜丰村镇银行股份有限公司建设道支行</w:t>
            </w:r>
          </w:p>
        </w:tc>
        <w:tc>
          <w:tcPr>
            <w:tcW w:w="3236" w:type="dxa"/>
            <w:vAlign w:val="center"/>
          </w:tcPr>
          <w:p w14:paraId="09975671">
            <w:pPr>
              <w:keepNext w:val="0"/>
              <w:keepLines w:val="0"/>
              <w:suppressLineNumbers w:val="0"/>
              <w:spacing w:before="0" w:beforeAutospacing="0" w:after="0" w:afterAutospacing="0"/>
              <w:ind w:left="0" w:right="0"/>
              <w:jc w:val="left"/>
              <w:rPr>
                <w:rFonts w:hint="default" w:ascii="宋体" w:hAnsi="宋体" w:cs="宋体"/>
                <w:sz w:val="18"/>
                <w:szCs w:val="24"/>
                <w:highlight w:val="none"/>
              </w:rPr>
            </w:pPr>
            <w:r>
              <w:rPr>
                <w:rFonts w:hint="eastAsia" w:ascii="宋体" w:hAnsi="宋体" w:cs="宋体"/>
                <w:sz w:val="18"/>
                <w:szCs w:val="24"/>
                <w:highlight w:val="none"/>
              </w:rPr>
              <w:t>霸州市建设东道上东枫景底商</w:t>
            </w:r>
          </w:p>
        </w:tc>
      </w:tr>
    </w:tbl>
    <w:p w14:paraId="420ACF88">
      <w:pPr>
        <w:autoSpaceDE w:val="0"/>
        <w:autoSpaceDN w:val="0"/>
        <w:spacing w:line="480" w:lineRule="exact"/>
        <w:ind w:firstLine="482" w:firstLineChars="200"/>
        <w:jc w:val="left"/>
        <w:rPr>
          <w:rFonts w:ascii="宋体" w:hAnsi="宋体"/>
          <w:b/>
          <w:sz w:val="24"/>
          <w:highlight w:val="none"/>
        </w:rPr>
      </w:pPr>
      <w:r>
        <w:rPr>
          <w:rFonts w:hint="eastAsia" w:ascii="宋体" w:hAnsi="宋体"/>
          <w:b/>
          <w:sz w:val="24"/>
          <w:szCs w:val="24"/>
          <w:highlight w:val="none"/>
        </w:rPr>
        <w:t>（</w:t>
      </w:r>
      <w:r>
        <w:rPr>
          <w:rFonts w:hint="eastAsia" w:ascii="宋体" w:hAnsi="宋体"/>
          <w:b/>
          <w:sz w:val="24"/>
          <w:highlight w:val="none"/>
        </w:rPr>
        <w:t>三）财务报告批准报出日</w:t>
      </w:r>
    </w:p>
    <w:p w14:paraId="75156841">
      <w:pPr>
        <w:autoSpaceDE w:val="0"/>
        <w:autoSpaceDN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本财务报表</w:t>
      </w:r>
      <w:r>
        <w:rPr>
          <w:rFonts w:hint="eastAsia" w:ascii="宋体" w:hAnsi="宋体"/>
          <w:sz w:val="24"/>
          <w:szCs w:val="24"/>
          <w:highlight w:val="none"/>
          <w:lang w:val="en-US" w:eastAsia="zh-CN"/>
        </w:rPr>
        <w:t>于2025年4月15日</w:t>
      </w:r>
      <w:r>
        <w:rPr>
          <w:rFonts w:hint="eastAsia" w:ascii="宋体" w:hAnsi="宋体"/>
          <w:sz w:val="24"/>
          <w:szCs w:val="24"/>
          <w:highlight w:val="none"/>
        </w:rPr>
        <w:t>经本村镇银行董事会会议批准报出。</w:t>
      </w:r>
    </w:p>
    <w:p w14:paraId="7D3D25EC">
      <w:pPr>
        <w:pStyle w:val="35"/>
        <w:numPr>
          <w:ilvl w:val="0"/>
          <w:numId w:val="1"/>
        </w:numPr>
        <w:spacing w:line="48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财务报表的编制基础</w:t>
      </w:r>
    </w:p>
    <w:p w14:paraId="016C7872">
      <w:pPr>
        <w:pStyle w:val="35"/>
        <w:numPr>
          <w:ilvl w:val="0"/>
          <w:numId w:val="0"/>
        </w:numPr>
        <w:spacing w:line="480" w:lineRule="exact"/>
        <w:ind w:firstLine="480" w:firstLineChars="200"/>
        <w:rPr>
          <w:rFonts w:ascii="宋体" w:hAnsi="宋体" w:eastAsia="宋体" w:cs="宋体"/>
          <w:highlight w:val="none"/>
        </w:rPr>
      </w:pPr>
      <w:r>
        <w:rPr>
          <w:rFonts w:hint="eastAsia" w:ascii="宋体" w:hAnsi="宋体" w:eastAsia="宋体" w:cs="宋体"/>
          <w:highlight w:val="none"/>
        </w:rPr>
        <w:t xml:space="preserve">本村镇银行财务报表以持续经营假设为基础，根据实际发生的交易和事项，按照财政部发布的《企业会计准则——基本准则》（财政部令第33号发布、财政部令第76号修订）、于2006年2月15日及其后颁布和修订的具体会计准则、企业会计准则应用指南、企业会计准则解释及其他相关规定（以下合称“企业会计准则”）。 </w:t>
      </w:r>
    </w:p>
    <w:p w14:paraId="4D6BF864">
      <w:pPr>
        <w:pStyle w:val="35"/>
        <w:adjustRightInd/>
        <w:spacing w:line="480" w:lineRule="exact"/>
        <w:ind w:firstLine="480" w:firstLineChars="200"/>
        <w:rPr>
          <w:rFonts w:ascii="宋体" w:hAnsi="宋体" w:eastAsia="宋体" w:cs="宋体"/>
          <w:highlight w:val="none"/>
        </w:rPr>
      </w:pPr>
      <w:r>
        <w:rPr>
          <w:rFonts w:hint="eastAsia" w:ascii="宋体" w:hAnsi="宋体" w:eastAsia="宋体" w:cs="宋体"/>
          <w:highlight w:val="none"/>
        </w:rPr>
        <w:t>根据企业会计准则的相关规定，本</w:t>
      </w:r>
      <w:r>
        <w:rPr>
          <w:rFonts w:hint="eastAsia" w:ascii="宋体" w:hAnsi="宋体" w:eastAsia="宋体" w:cs="宋体"/>
          <w:color w:val="auto"/>
          <w:kern w:val="2"/>
          <w:highlight w:val="none"/>
        </w:rPr>
        <w:t>村镇银行</w:t>
      </w:r>
      <w:r>
        <w:rPr>
          <w:rFonts w:hint="eastAsia" w:ascii="宋体" w:hAnsi="宋体" w:eastAsia="宋体" w:cs="宋体"/>
          <w:highlight w:val="none"/>
        </w:rPr>
        <w:t>会计核算以权责发生制为基础。除某些金融工具外，本财务报表均以历史成本为计量基础。资产如果发生减值，则按照相关规定计提相应的减值准备。</w:t>
      </w:r>
    </w:p>
    <w:p w14:paraId="0F4E6B82">
      <w:pPr>
        <w:pStyle w:val="35"/>
        <w:numPr>
          <w:ilvl w:val="0"/>
          <w:numId w:val="1"/>
        </w:numPr>
        <w:adjustRightInd/>
        <w:spacing w:line="480" w:lineRule="exact"/>
        <w:ind w:left="0" w:leftChars="0" w:firstLine="560" w:firstLineChars="200"/>
        <w:rPr>
          <w:rFonts w:hint="eastAsia" w:ascii="宋体" w:hAnsi="宋体" w:cs="宋体"/>
          <w:sz w:val="28"/>
          <w:szCs w:val="28"/>
          <w:highlight w:val="none"/>
        </w:rPr>
      </w:pPr>
      <w:r>
        <w:rPr>
          <w:rFonts w:hint="eastAsia" w:ascii="宋体" w:hAnsi="宋体" w:cs="宋体"/>
          <w:sz w:val="28"/>
          <w:szCs w:val="28"/>
          <w:highlight w:val="none"/>
        </w:rPr>
        <w:t>持续经营</w:t>
      </w:r>
    </w:p>
    <w:p w14:paraId="39140415">
      <w:pPr>
        <w:pStyle w:val="35"/>
        <w:numPr>
          <w:ilvl w:val="0"/>
          <w:numId w:val="0"/>
        </w:numPr>
        <w:adjustRightInd/>
        <w:spacing w:line="480" w:lineRule="exact"/>
        <w:ind w:firstLine="480" w:firstLineChars="200"/>
        <w:rPr>
          <w:rFonts w:ascii="宋体" w:hAnsi="宋体" w:eastAsia="宋体" w:cs="Times New Roman"/>
          <w:highlight w:val="none"/>
        </w:rPr>
      </w:pPr>
      <w:r>
        <w:rPr>
          <w:rFonts w:hint="eastAsia" w:ascii="宋体" w:hAnsi="宋体" w:eastAsia="宋体" w:cs="宋体"/>
          <w:color w:val="auto"/>
          <w:kern w:val="2"/>
          <w:highlight w:val="none"/>
        </w:rPr>
        <w:t>本村镇银行</w:t>
      </w:r>
      <w:r>
        <w:rPr>
          <w:rFonts w:hint="eastAsia" w:ascii="宋体" w:hAnsi="宋体" w:eastAsia="宋体" w:cs="Times New Roman"/>
          <w:color w:val="auto"/>
          <w:kern w:val="2"/>
          <w:highlight w:val="none"/>
        </w:rPr>
        <w:t>自本报告期末至少</w:t>
      </w:r>
      <w:r>
        <w:rPr>
          <w:rFonts w:ascii="宋体" w:hAnsi="宋体" w:eastAsia="宋体" w:cs="Times New Roman"/>
          <w:color w:val="auto"/>
          <w:kern w:val="2"/>
          <w:highlight w:val="none"/>
        </w:rPr>
        <w:t>12</w:t>
      </w:r>
      <w:r>
        <w:rPr>
          <w:rFonts w:hint="eastAsia" w:ascii="宋体" w:hAnsi="宋体" w:eastAsia="宋体" w:cs="Times New Roman"/>
          <w:color w:val="auto"/>
          <w:kern w:val="2"/>
          <w:highlight w:val="none"/>
        </w:rPr>
        <w:t>个月内具备持续经营能力，无影响持续经营能力的重大事项。</w:t>
      </w:r>
    </w:p>
    <w:p w14:paraId="097723DE">
      <w:pPr>
        <w:pStyle w:val="20"/>
        <w:numPr>
          <w:ilvl w:val="0"/>
          <w:numId w:val="0"/>
        </w:numPr>
        <w:spacing w:before="0" w:after="0" w:line="480" w:lineRule="exact"/>
        <w:ind w:firstLine="482" w:firstLineChars="200"/>
        <w:jc w:val="both"/>
        <w:rPr>
          <w:rFonts w:ascii="宋体" w:hAnsi="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8"/>
          <w:szCs w:val="28"/>
          <w:highlight w:val="none"/>
          <w:lang w:val="en-US" w:eastAsia="zh-CN"/>
        </w:rPr>
        <w:t>、</w:t>
      </w:r>
      <w:r>
        <w:rPr>
          <w:rFonts w:hint="eastAsia" w:ascii="宋体" w:hAnsi="宋体" w:cs="宋体"/>
          <w:sz w:val="28"/>
          <w:szCs w:val="28"/>
          <w:highlight w:val="none"/>
        </w:rPr>
        <w:t>遵循企业会计准则的声明</w:t>
      </w:r>
    </w:p>
    <w:p w14:paraId="20C15912">
      <w:pPr>
        <w:pStyle w:val="35"/>
        <w:adjustRightInd/>
        <w:spacing w:line="480" w:lineRule="exact"/>
        <w:ind w:firstLine="480" w:firstLineChars="200"/>
        <w:rPr>
          <w:rFonts w:ascii="宋体" w:hAnsi="宋体" w:eastAsia="宋体" w:cs="Times New Roman"/>
          <w:highlight w:val="none"/>
        </w:rPr>
      </w:pPr>
      <w:r>
        <w:rPr>
          <w:rFonts w:hint="eastAsia" w:ascii="宋体" w:hAnsi="宋体" w:eastAsia="宋体" w:cs="宋体"/>
          <w:highlight w:val="none"/>
        </w:rPr>
        <w:t>本财务报表符合企业会计准则的要求，真实、完整地反映了</w:t>
      </w:r>
      <w:r>
        <w:rPr>
          <w:rFonts w:hint="eastAsia" w:ascii="宋体" w:hAnsi="宋体" w:eastAsia="宋体" w:cs="宋体"/>
          <w:color w:val="auto"/>
          <w:highlight w:val="none"/>
        </w:rPr>
        <w:t>本村镇银行</w:t>
      </w:r>
      <w:r>
        <w:rPr>
          <w:rFonts w:hint="eastAsia" w:ascii="宋体" w:hAnsi="宋体" w:eastAsia="宋体" w:cs="宋体"/>
          <w:highlight w:val="none"/>
        </w:rPr>
        <w:t>的财务状况、经营成果和现金流量等有关信息。</w:t>
      </w:r>
    </w:p>
    <w:p w14:paraId="4B2D403F">
      <w:pPr>
        <w:tabs>
          <w:tab w:val="left" w:pos="0"/>
        </w:tabs>
        <w:kinsoku w:val="0"/>
        <w:overflowPunct w:val="0"/>
        <w:autoSpaceDE w:val="0"/>
        <w:autoSpaceDN w:val="0"/>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本村镇银行董事会、监事会及全体董事、监事、高级管理人员承诺本村镇银行编</w:t>
      </w:r>
      <w:r>
        <w:rPr>
          <w:rFonts w:hint="eastAsia" w:ascii="宋体" w:hAnsi="宋体" w:cs="宋体"/>
          <w:spacing w:val="2"/>
          <w:sz w:val="24"/>
          <w:szCs w:val="24"/>
          <w:highlight w:val="none"/>
        </w:rPr>
        <w:t>制的财务报告不存在虚假记载、误导性陈述或重大遗漏，并就财务报告的真实性</w:t>
      </w:r>
      <w:r>
        <w:rPr>
          <w:rFonts w:hint="eastAsia" w:ascii="宋体" w:hAnsi="宋体" w:cs="宋体"/>
          <w:sz w:val="24"/>
          <w:szCs w:val="24"/>
          <w:highlight w:val="none"/>
        </w:rPr>
        <w:t>、准确性、完整性承担个别和连带的法律责任。</w:t>
      </w:r>
    </w:p>
    <w:p w14:paraId="6A4ED12A">
      <w:pPr>
        <w:pStyle w:val="20"/>
        <w:numPr>
          <w:ilvl w:val="0"/>
          <w:numId w:val="0"/>
        </w:numPr>
        <w:spacing w:before="0" w:after="0" w:line="480" w:lineRule="exact"/>
        <w:ind w:firstLine="562" w:firstLineChars="200"/>
        <w:jc w:val="both"/>
        <w:rPr>
          <w:rFonts w:ascii="宋体" w:hAnsi="宋体"/>
          <w:sz w:val="28"/>
          <w:szCs w:val="28"/>
          <w:highlight w:val="none"/>
        </w:rPr>
      </w:pPr>
      <w:r>
        <w:rPr>
          <w:rFonts w:hint="eastAsia" w:ascii="宋体" w:hAnsi="宋体" w:cs="宋体"/>
          <w:sz w:val="28"/>
          <w:szCs w:val="28"/>
          <w:highlight w:val="none"/>
          <w:lang w:val="en-US" w:eastAsia="zh-CN"/>
        </w:rPr>
        <w:t>五、</w:t>
      </w:r>
      <w:r>
        <w:rPr>
          <w:rFonts w:hint="eastAsia" w:ascii="宋体" w:hAnsi="宋体" w:cs="宋体"/>
          <w:sz w:val="28"/>
          <w:szCs w:val="28"/>
          <w:highlight w:val="none"/>
        </w:rPr>
        <w:t>重要会计政策和会计估计</w:t>
      </w:r>
    </w:p>
    <w:p w14:paraId="16DC0061">
      <w:pPr>
        <w:pStyle w:val="3"/>
        <w:keepNext w:val="0"/>
        <w:keepLines w:val="0"/>
        <w:numPr>
          <w:ilvl w:val="0"/>
          <w:numId w:val="2"/>
        </w:numPr>
        <w:spacing w:before="0" w:after="0" w:line="480" w:lineRule="exact"/>
        <w:ind w:left="0" w:firstLine="482" w:firstLineChars="200"/>
        <w:rPr>
          <w:rFonts w:ascii="宋体" w:hAnsi="宋体" w:eastAsia="宋体"/>
          <w:bCs w:val="0"/>
          <w:sz w:val="24"/>
          <w:szCs w:val="24"/>
          <w:highlight w:val="none"/>
        </w:rPr>
      </w:pPr>
      <w:r>
        <w:rPr>
          <w:rFonts w:hint="eastAsia" w:ascii="宋体" w:hAnsi="宋体" w:eastAsia="宋体" w:cs="宋体"/>
          <w:bCs w:val="0"/>
          <w:sz w:val="24"/>
          <w:szCs w:val="24"/>
          <w:highlight w:val="none"/>
        </w:rPr>
        <w:t>会计期间</w:t>
      </w:r>
    </w:p>
    <w:p w14:paraId="2D5FCDBC">
      <w:pPr>
        <w:autoSpaceDE w:val="0"/>
        <w:autoSpaceDN w:val="0"/>
        <w:spacing w:line="480" w:lineRule="exact"/>
        <w:ind w:firstLine="480" w:firstLineChars="200"/>
        <w:jc w:val="left"/>
        <w:rPr>
          <w:rFonts w:ascii="宋体" w:hAnsi="宋体"/>
          <w:color w:val="FF0000"/>
          <w:sz w:val="24"/>
          <w:szCs w:val="24"/>
          <w:highlight w:val="none"/>
        </w:rPr>
      </w:pPr>
      <w:r>
        <w:rPr>
          <w:rFonts w:hint="eastAsia" w:ascii="宋体" w:hAnsi="宋体" w:cs="宋体"/>
          <w:sz w:val="24"/>
          <w:szCs w:val="24"/>
          <w:highlight w:val="none"/>
        </w:rPr>
        <w:t>本村镇银行会计年度采用公历年度，即每年自</w:t>
      </w:r>
      <w:r>
        <w:rPr>
          <w:rFonts w:ascii="宋体" w:hAnsi="宋体" w:cs="宋体"/>
          <w:sz w:val="24"/>
          <w:szCs w:val="24"/>
          <w:highlight w:val="none"/>
        </w:rPr>
        <w:t>1</w:t>
      </w:r>
      <w:r>
        <w:rPr>
          <w:rFonts w:hint="eastAsia" w:ascii="宋体" w:hAnsi="宋体" w:cs="宋体"/>
          <w:sz w:val="24"/>
          <w:szCs w:val="24"/>
          <w:highlight w:val="none"/>
        </w:rPr>
        <w:t>月</w:t>
      </w:r>
      <w:r>
        <w:rPr>
          <w:rFonts w:ascii="宋体" w:hAnsi="宋体" w:cs="宋体"/>
          <w:sz w:val="24"/>
          <w:szCs w:val="24"/>
          <w:highlight w:val="none"/>
        </w:rPr>
        <w:t>1</w:t>
      </w:r>
      <w:r>
        <w:rPr>
          <w:rFonts w:hint="eastAsia" w:ascii="宋体" w:hAnsi="宋体" w:cs="宋体"/>
          <w:sz w:val="24"/>
          <w:szCs w:val="24"/>
          <w:highlight w:val="none"/>
        </w:rPr>
        <w:t>日起至</w:t>
      </w:r>
      <w:r>
        <w:rPr>
          <w:rFonts w:ascii="宋体" w:hAnsi="宋体" w:cs="宋体"/>
          <w:sz w:val="24"/>
          <w:szCs w:val="24"/>
          <w:highlight w:val="none"/>
        </w:rPr>
        <w:t>12</w:t>
      </w:r>
      <w:r>
        <w:rPr>
          <w:rFonts w:hint="eastAsia" w:ascii="宋体" w:hAnsi="宋体" w:cs="宋体"/>
          <w:sz w:val="24"/>
          <w:szCs w:val="24"/>
          <w:highlight w:val="none"/>
        </w:rPr>
        <w:t>月</w:t>
      </w:r>
      <w:r>
        <w:rPr>
          <w:rFonts w:ascii="宋体" w:hAnsi="宋体" w:cs="宋体"/>
          <w:sz w:val="24"/>
          <w:szCs w:val="24"/>
          <w:highlight w:val="none"/>
        </w:rPr>
        <w:t>31</w:t>
      </w:r>
      <w:r>
        <w:rPr>
          <w:rFonts w:hint="eastAsia" w:ascii="宋体" w:hAnsi="宋体" w:cs="宋体"/>
          <w:sz w:val="24"/>
          <w:szCs w:val="24"/>
          <w:highlight w:val="none"/>
        </w:rPr>
        <w:t>日止。</w:t>
      </w:r>
    </w:p>
    <w:p w14:paraId="4FD4B8DF">
      <w:pPr>
        <w:pStyle w:val="3"/>
        <w:keepNext w:val="0"/>
        <w:keepLines w:val="0"/>
        <w:numPr>
          <w:ilvl w:val="0"/>
          <w:numId w:val="2"/>
        </w:numPr>
        <w:spacing w:before="0" w:after="0" w:line="480" w:lineRule="exact"/>
        <w:ind w:left="0" w:firstLine="482" w:firstLineChars="200"/>
        <w:rPr>
          <w:rFonts w:ascii="宋体" w:hAnsi="宋体" w:cs="宋体"/>
          <w:sz w:val="24"/>
          <w:szCs w:val="24"/>
          <w:highlight w:val="none"/>
        </w:rPr>
      </w:pPr>
      <w:r>
        <w:rPr>
          <w:rFonts w:hint="eastAsia" w:ascii="宋体" w:hAnsi="宋体" w:eastAsia="宋体" w:cs="宋体"/>
          <w:bCs w:val="0"/>
          <w:sz w:val="24"/>
          <w:szCs w:val="24"/>
          <w:highlight w:val="none"/>
        </w:rPr>
        <w:t>营业周期</w:t>
      </w:r>
    </w:p>
    <w:p w14:paraId="5241F400">
      <w:pPr>
        <w:autoSpaceDE w:val="0"/>
        <w:autoSpaceDN w:val="0"/>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本村镇银行为金融企业，不具有明显可识别的营业周期。</w:t>
      </w:r>
    </w:p>
    <w:p w14:paraId="4E196C85">
      <w:pPr>
        <w:pStyle w:val="3"/>
        <w:keepNext w:val="0"/>
        <w:keepLines w:val="0"/>
        <w:numPr>
          <w:ilvl w:val="0"/>
          <w:numId w:val="2"/>
        </w:numPr>
        <w:spacing w:before="0" w:after="0" w:line="480" w:lineRule="exact"/>
        <w:ind w:left="0"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记账本位币</w:t>
      </w:r>
    </w:p>
    <w:p w14:paraId="139205C5">
      <w:pPr>
        <w:autoSpaceDE w:val="0"/>
        <w:autoSpaceDN w:val="0"/>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本村镇银行以人民币为记账本位币。</w:t>
      </w:r>
    </w:p>
    <w:p w14:paraId="5E8AFFB2">
      <w:pPr>
        <w:pStyle w:val="3"/>
        <w:keepNext w:val="0"/>
        <w:keepLines w:val="0"/>
        <w:numPr>
          <w:ilvl w:val="0"/>
          <w:numId w:val="2"/>
        </w:numPr>
        <w:spacing w:before="0" w:after="0" w:line="480" w:lineRule="exact"/>
        <w:ind w:left="0" w:firstLine="482" w:firstLineChars="200"/>
        <w:rPr>
          <w:rFonts w:ascii="宋体" w:hAnsi="宋体" w:eastAsia="宋体"/>
          <w:bCs w:val="0"/>
          <w:sz w:val="24"/>
          <w:szCs w:val="24"/>
          <w:highlight w:val="none"/>
        </w:rPr>
      </w:pPr>
      <w:r>
        <w:rPr>
          <w:rFonts w:hint="eastAsia" w:ascii="宋体" w:hAnsi="宋体" w:eastAsia="宋体" w:cs="宋体"/>
          <w:bCs w:val="0"/>
          <w:sz w:val="24"/>
          <w:szCs w:val="24"/>
          <w:highlight w:val="none"/>
        </w:rPr>
        <w:t>现金及现金等价物的确定标准</w:t>
      </w:r>
    </w:p>
    <w:p w14:paraId="2230D3BC">
      <w:pPr>
        <w:autoSpaceDE w:val="0"/>
        <w:autoSpaceDN w:val="0"/>
        <w:spacing w:line="480" w:lineRule="exact"/>
        <w:ind w:firstLine="480" w:firstLineChars="200"/>
        <w:jc w:val="left"/>
        <w:rPr>
          <w:rFonts w:ascii="宋体" w:hAnsi="宋体"/>
          <w:color w:val="00FF00"/>
          <w:kern w:val="0"/>
          <w:sz w:val="24"/>
          <w:szCs w:val="24"/>
          <w:highlight w:val="none"/>
        </w:rPr>
      </w:pPr>
      <w:r>
        <w:rPr>
          <w:rFonts w:hint="eastAsia" w:ascii="宋体" w:hAnsi="宋体" w:cs="宋体"/>
          <w:kern w:val="0"/>
          <w:sz w:val="24"/>
          <w:szCs w:val="24"/>
          <w:highlight w:val="none"/>
        </w:rPr>
        <w:t>本村镇银行现金包括库存现金、可以随时用于支付的存款；现金等价物包括本村镇银行持有的期限短（一般指从购买日起三个月内到期）、流动性强、易于转换为已知金额现金、价值变动风险很小的投资。</w:t>
      </w:r>
    </w:p>
    <w:p w14:paraId="7A51EB86">
      <w:pPr>
        <w:pStyle w:val="3"/>
        <w:keepNext w:val="0"/>
        <w:keepLines w:val="0"/>
        <w:numPr>
          <w:ilvl w:val="0"/>
          <w:numId w:val="2"/>
        </w:numPr>
        <w:spacing w:before="0" w:after="0" w:line="480" w:lineRule="exact"/>
        <w:ind w:left="0"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外币业务核算方法</w:t>
      </w:r>
    </w:p>
    <w:p w14:paraId="0C9A0975">
      <w:pPr>
        <w:autoSpaceDE w:val="0"/>
        <w:autoSpaceDN w:val="0"/>
        <w:spacing w:line="480" w:lineRule="exact"/>
        <w:ind w:firstLine="480" w:firstLineChars="200"/>
        <w:jc w:val="left"/>
        <w:rPr>
          <w:rFonts w:ascii="宋体" w:hAnsi="宋体"/>
          <w:kern w:val="0"/>
          <w:sz w:val="24"/>
          <w:szCs w:val="24"/>
          <w:highlight w:val="none"/>
        </w:rPr>
      </w:pPr>
      <w:r>
        <w:rPr>
          <w:rFonts w:hint="eastAsia" w:ascii="宋体" w:hAnsi="宋体" w:cs="宋体"/>
          <w:kern w:val="0"/>
          <w:sz w:val="24"/>
          <w:szCs w:val="24"/>
          <w:highlight w:val="none"/>
        </w:rPr>
        <w:t>本村镇银行外币交易均按交易发生日的即期汇率折算为记账本位币。</w:t>
      </w:r>
    </w:p>
    <w:p w14:paraId="1093F70E">
      <w:pPr>
        <w:autoSpaceDE w:val="0"/>
        <w:autoSpaceDN w:val="0"/>
        <w:spacing w:line="480" w:lineRule="exact"/>
        <w:ind w:firstLine="480" w:firstLineChars="200"/>
        <w:jc w:val="left"/>
        <w:rPr>
          <w:rFonts w:ascii="宋体" w:hAnsi="宋体"/>
          <w:kern w:val="0"/>
          <w:sz w:val="24"/>
          <w:szCs w:val="24"/>
          <w:highlight w:val="none"/>
        </w:rPr>
      </w:pPr>
      <w:r>
        <w:rPr>
          <w:rFonts w:hint="eastAsia" w:ascii="宋体" w:hAnsi="宋体" w:cs="宋体"/>
          <w:color w:val="000000"/>
          <w:kern w:val="0"/>
          <w:sz w:val="24"/>
          <w:szCs w:val="24"/>
          <w:highlight w:val="none"/>
        </w:rPr>
        <w:t>在资产负债表日，按照下列规定对外币货币性项目和外币非货币性项目进行处理：外币货币性项目，采用资产负债表日即期汇率折算。因资产负债表日即期汇率与初始确认时或前一资产负债表日即期汇率不同而产生的汇兑差额，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w:t>
      </w:r>
      <w:r>
        <w:rPr>
          <w:rFonts w:hint="eastAsia" w:ascii="宋体" w:hAnsi="宋体" w:cs="宋体"/>
          <w:kern w:val="0"/>
          <w:sz w:val="24"/>
          <w:szCs w:val="24"/>
          <w:highlight w:val="none"/>
        </w:rPr>
        <w:t>（含汇率变动）</w:t>
      </w:r>
      <w:r>
        <w:rPr>
          <w:rFonts w:hint="eastAsia" w:ascii="宋体" w:hAnsi="宋体" w:cs="宋体"/>
          <w:color w:val="000000"/>
          <w:kern w:val="0"/>
          <w:sz w:val="24"/>
          <w:szCs w:val="24"/>
          <w:highlight w:val="none"/>
        </w:rPr>
        <w:t>处理，计入当期损益；</w:t>
      </w:r>
      <w:r>
        <w:rPr>
          <w:rFonts w:hint="eastAsia" w:ascii="宋体" w:hAnsi="宋体" w:cs="宋体"/>
          <w:kern w:val="0"/>
          <w:sz w:val="24"/>
          <w:szCs w:val="24"/>
          <w:highlight w:val="none"/>
        </w:rPr>
        <w:t>在资本化期间内，外币专门借款本金及利息的汇兑差额，予以资本化，计入符合资本化条件的资产的成本。</w:t>
      </w:r>
    </w:p>
    <w:p w14:paraId="29835E54">
      <w:pPr>
        <w:pStyle w:val="3"/>
        <w:keepNext w:val="0"/>
        <w:keepLines w:val="0"/>
        <w:numPr>
          <w:ilvl w:val="0"/>
          <w:numId w:val="2"/>
        </w:numPr>
        <w:spacing w:before="0" w:after="0" w:line="480" w:lineRule="exact"/>
        <w:ind w:left="0"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固定资产的确认和计量</w:t>
      </w:r>
    </w:p>
    <w:p w14:paraId="6FF75F8A">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固定资产核算</w:t>
      </w:r>
    </w:p>
    <w:p w14:paraId="06385F60">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固定资产是指对外经营、提供劳务、出租或经营管理而持有的，使用寿命超过</w:t>
      </w:r>
      <w:r>
        <w:rPr>
          <w:rFonts w:ascii="宋体" w:hAnsi="宋体" w:cs="宋体"/>
          <w:sz w:val="24"/>
          <w:szCs w:val="24"/>
          <w:highlight w:val="none"/>
        </w:rPr>
        <w:t>1</w:t>
      </w:r>
      <w:r>
        <w:rPr>
          <w:rFonts w:hint="eastAsia" w:ascii="宋体" w:hAnsi="宋体" w:cs="宋体"/>
          <w:sz w:val="24"/>
          <w:szCs w:val="24"/>
          <w:highlight w:val="none"/>
        </w:rPr>
        <w:t>个会计年度列入本村镇银行固定资产目录的有形资产。</w:t>
      </w:r>
    </w:p>
    <w:p w14:paraId="3622B786">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固定资产在取得时，按取得时的成本入账。外购固定资产的成本，包括购买价款、相关税费、使固定资产达到预定可使用状态前所发生的可归属于该项资产的运输费、装卸费、安装费和专业人员服务费等，自行建造的固定资产的成本，包括由建造该项资产达到预定可使用状态前所发生的必要支出。固定资产折旧采用年限平均法计算。主要固定资产的预计使用寿命、净残值率及年折旧率列示如下：</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2085"/>
        <w:gridCol w:w="2352"/>
        <w:gridCol w:w="2077"/>
        <w:gridCol w:w="1792"/>
      </w:tblGrid>
      <w:tr w14:paraId="577790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54" w:hRule="atLeast"/>
          <w:tblHeader/>
          <w:jc w:val="center"/>
        </w:trPr>
        <w:tc>
          <w:tcPr>
            <w:tcW w:w="1255" w:type="pct"/>
            <w:vAlign w:val="center"/>
          </w:tcPr>
          <w:p w14:paraId="7CB054DD">
            <w:pPr>
              <w:pStyle w:val="11"/>
              <w:keepNext w:val="0"/>
              <w:keepLines w:val="0"/>
              <w:suppressLineNumbers w:val="0"/>
              <w:tabs>
                <w:tab w:val="left" w:pos="6047"/>
              </w:tabs>
              <w:snapToGrid w:val="0"/>
              <w:spacing w:before="0" w:beforeAutospacing="0" w:after="0" w:afterAutospacing="0"/>
              <w:ind w:left="0" w:right="0"/>
              <w:jc w:val="center"/>
              <w:rPr>
                <w:rFonts w:hint="default" w:hAnsi="宋体"/>
                <w:kern w:val="2"/>
                <w:sz w:val="18"/>
                <w:szCs w:val="18"/>
                <w:highlight w:val="none"/>
              </w:rPr>
            </w:pPr>
            <w:r>
              <w:rPr>
                <w:rFonts w:hint="eastAsia" w:hAnsi="宋体" w:cs="宋体"/>
                <w:kern w:val="2"/>
                <w:sz w:val="18"/>
                <w:szCs w:val="18"/>
                <w:highlight w:val="none"/>
              </w:rPr>
              <w:t>固定资产类别</w:t>
            </w:r>
          </w:p>
        </w:tc>
        <w:tc>
          <w:tcPr>
            <w:tcW w:w="1416" w:type="pct"/>
            <w:vAlign w:val="center"/>
          </w:tcPr>
          <w:p w14:paraId="65649451">
            <w:pPr>
              <w:pStyle w:val="11"/>
              <w:keepNext w:val="0"/>
              <w:keepLines w:val="0"/>
              <w:suppressLineNumbers w:val="0"/>
              <w:tabs>
                <w:tab w:val="left" w:pos="6047"/>
              </w:tabs>
              <w:snapToGrid w:val="0"/>
              <w:spacing w:before="0" w:beforeAutospacing="0" w:after="0" w:afterAutospacing="0"/>
              <w:ind w:left="0" w:right="0"/>
              <w:jc w:val="center"/>
              <w:rPr>
                <w:rFonts w:hint="default" w:hAnsi="宋体" w:cs="宋体"/>
                <w:kern w:val="2"/>
                <w:sz w:val="18"/>
                <w:szCs w:val="18"/>
                <w:highlight w:val="none"/>
              </w:rPr>
            </w:pPr>
            <w:r>
              <w:rPr>
                <w:rFonts w:hint="eastAsia" w:hAnsi="宋体" w:cs="宋体"/>
                <w:kern w:val="2"/>
                <w:sz w:val="18"/>
                <w:szCs w:val="18"/>
                <w:highlight w:val="none"/>
              </w:rPr>
              <w:t>预计净残值率（</w:t>
            </w:r>
            <w:r>
              <w:rPr>
                <w:rFonts w:hint="default" w:hAnsi="宋体" w:cs="宋体"/>
                <w:kern w:val="2"/>
                <w:sz w:val="18"/>
                <w:szCs w:val="18"/>
                <w:highlight w:val="none"/>
              </w:rPr>
              <w:t>%</w:t>
            </w:r>
            <w:r>
              <w:rPr>
                <w:rFonts w:hint="eastAsia" w:hAnsi="宋体" w:cs="宋体"/>
                <w:kern w:val="2"/>
                <w:sz w:val="18"/>
                <w:szCs w:val="18"/>
                <w:highlight w:val="none"/>
              </w:rPr>
              <w:t>）</w:t>
            </w:r>
          </w:p>
        </w:tc>
        <w:tc>
          <w:tcPr>
            <w:tcW w:w="1250" w:type="pct"/>
            <w:vAlign w:val="center"/>
          </w:tcPr>
          <w:p w14:paraId="104BFAA7">
            <w:pPr>
              <w:pStyle w:val="11"/>
              <w:keepNext w:val="0"/>
              <w:keepLines w:val="0"/>
              <w:suppressLineNumbers w:val="0"/>
              <w:tabs>
                <w:tab w:val="left" w:pos="6047"/>
              </w:tabs>
              <w:snapToGrid w:val="0"/>
              <w:spacing w:before="0" w:beforeAutospacing="0" w:after="0" w:afterAutospacing="0"/>
              <w:ind w:left="0" w:right="0"/>
              <w:jc w:val="center"/>
              <w:rPr>
                <w:rFonts w:hint="default" w:hAnsi="宋体"/>
                <w:kern w:val="2"/>
                <w:sz w:val="18"/>
                <w:szCs w:val="18"/>
                <w:highlight w:val="none"/>
              </w:rPr>
            </w:pPr>
            <w:r>
              <w:rPr>
                <w:rFonts w:hint="eastAsia" w:hAnsi="宋体" w:cs="宋体"/>
                <w:kern w:val="2"/>
                <w:sz w:val="18"/>
                <w:szCs w:val="18"/>
                <w:highlight w:val="none"/>
              </w:rPr>
              <w:t>预计使用年限（年）</w:t>
            </w:r>
          </w:p>
        </w:tc>
        <w:tc>
          <w:tcPr>
            <w:tcW w:w="1079" w:type="pct"/>
            <w:vAlign w:val="center"/>
          </w:tcPr>
          <w:p w14:paraId="587479B7">
            <w:pPr>
              <w:pStyle w:val="11"/>
              <w:keepNext w:val="0"/>
              <w:keepLines w:val="0"/>
              <w:suppressLineNumbers w:val="0"/>
              <w:tabs>
                <w:tab w:val="left" w:pos="6047"/>
              </w:tabs>
              <w:snapToGrid w:val="0"/>
              <w:spacing w:before="0" w:beforeAutospacing="0" w:after="0" w:afterAutospacing="0"/>
              <w:ind w:left="0" w:right="0"/>
              <w:jc w:val="center"/>
              <w:rPr>
                <w:rFonts w:hint="default" w:hAnsi="宋体"/>
                <w:kern w:val="2"/>
                <w:sz w:val="18"/>
                <w:szCs w:val="18"/>
                <w:highlight w:val="none"/>
              </w:rPr>
            </w:pPr>
            <w:r>
              <w:rPr>
                <w:rFonts w:hint="eastAsia" w:hAnsi="宋体" w:cs="宋体"/>
                <w:kern w:val="2"/>
                <w:sz w:val="18"/>
                <w:szCs w:val="18"/>
                <w:highlight w:val="none"/>
              </w:rPr>
              <w:t>年折旧率（</w:t>
            </w:r>
            <w:r>
              <w:rPr>
                <w:rFonts w:hint="default" w:hAnsi="宋体" w:cs="宋体"/>
                <w:kern w:val="2"/>
                <w:sz w:val="18"/>
                <w:szCs w:val="18"/>
                <w:highlight w:val="none"/>
              </w:rPr>
              <w:t>%</w:t>
            </w:r>
            <w:r>
              <w:rPr>
                <w:rFonts w:hint="eastAsia" w:hAnsi="宋体" w:cs="宋体"/>
                <w:kern w:val="2"/>
                <w:sz w:val="18"/>
                <w:szCs w:val="18"/>
                <w:highlight w:val="none"/>
              </w:rPr>
              <w:t>）</w:t>
            </w:r>
          </w:p>
        </w:tc>
      </w:tr>
      <w:tr w14:paraId="558C4A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54" w:hRule="atLeast"/>
          <w:jc w:val="center"/>
        </w:trPr>
        <w:tc>
          <w:tcPr>
            <w:tcW w:w="1255" w:type="pct"/>
            <w:vAlign w:val="center"/>
          </w:tcPr>
          <w:p w14:paraId="1C61BF46">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none"/>
              </w:rPr>
            </w:pPr>
            <w:r>
              <w:rPr>
                <w:rFonts w:hint="eastAsia" w:ascii="宋体" w:hAnsi="宋体" w:cs="宋体"/>
                <w:kern w:val="0"/>
                <w:sz w:val="18"/>
                <w:szCs w:val="18"/>
                <w:highlight w:val="none"/>
              </w:rPr>
              <w:t>交通工具</w:t>
            </w:r>
          </w:p>
        </w:tc>
        <w:tc>
          <w:tcPr>
            <w:tcW w:w="1416" w:type="pct"/>
            <w:vAlign w:val="center"/>
          </w:tcPr>
          <w:p w14:paraId="5C156858">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5</w:t>
            </w:r>
          </w:p>
        </w:tc>
        <w:tc>
          <w:tcPr>
            <w:tcW w:w="1250" w:type="pct"/>
            <w:vAlign w:val="center"/>
          </w:tcPr>
          <w:p w14:paraId="1857480B">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5</w:t>
            </w:r>
          </w:p>
        </w:tc>
        <w:tc>
          <w:tcPr>
            <w:tcW w:w="1079" w:type="pct"/>
            <w:vAlign w:val="center"/>
          </w:tcPr>
          <w:p w14:paraId="28EA2727">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19.00</w:t>
            </w:r>
          </w:p>
        </w:tc>
      </w:tr>
      <w:tr w14:paraId="5D6D5B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trHeight w:val="454" w:hRule="atLeast"/>
          <w:jc w:val="center"/>
        </w:trPr>
        <w:tc>
          <w:tcPr>
            <w:tcW w:w="1255" w:type="pct"/>
            <w:vAlign w:val="center"/>
          </w:tcPr>
          <w:p w14:paraId="3843A623">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none"/>
              </w:rPr>
            </w:pPr>
            <w:r>
              <w:rPr>
                <w:rFonts w:hint="eastAsia" w:ascii="宋体" w:hAnsi="宋体" w:cs="宋体"/>
                <w:kern w:val="0"/>
                <w:sz w:val="18"/>
                <w:szCs w:val="18"/>
                <w:highlight w:val="none"/>
              </w:rPr>
              <w:t>电子设备</w:t>
            </w:r>
          </w:p>
        </w:tc>
        <w:tc>
          <w:tcPr>
            <w:tcW w:w="1416" w:type="pct"/>
            <w:vAlign w:val="center"/>
          </w:tcPr>
          <w:p w14:paraId="0E29CCB2">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0.5-3</w:t>
            </w:r>
          </w:p>
        </w:tc>
        <w:tc>
          <w:tcPr>
            <w:tcW w:w="1250" w:type="pct"/>
            <w:vAlign w:val="center"/>
          </w:tcPr>
          <w:p w14:paraId="46AFC7A7">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3-5</w:t>
            </w:r>
          </w:p>
        </w:tc>
        <w:tc>
          <w:tcPr>
            <w:tcW w:w="1079" w:type="pct"/>
            <w:vAlign w:val="center"/>
          </w:tcPr>
          <w:p w14:paraId="60E4ECA5">
            <w:pPr>
              <w:pStyle w:val="11"/>
              <w:keepNext w:val="0"/>
              <w:keepLines w:val="0"/>
              <w:suppressLineNumbers w:val="0"/>
              <w:tabs>
                <w:tab w:val="left" w:pos="6047"/>
              </w:tabs>
              <w:snapToGrid w:val="0"/>
              <w:spacing w:before="0" w:beforeAutospacing="0" w:after="0" w:afterAutospacing="0"/>
              <w:ind w:left="0" w:right="0"/>
              <w:jc w:val="center"/>
              <w:rPr>
                <w:rFonts w:hint="default" w:hAnsi="宋体" w:cs="仿宋_GB2312"/>
                <w:kern w:val="2"/>
                <w:sz w:val="18"/>
                <w:szCs w:val="18"/>
                <w:highlight w:val="none"/>
              </w:rPr>
            </w:pPr>
            <w:r>
              <w:rPr>
                <w:rFonts w:hint="eastAsia" w:hAnsi="宋体" w:cs="仿宋_GB2312"/>
                <w:kern w:val="2"/>
                <w:sz w:val="18"/>
                <w:szCs w:val="18"/>
                <w:highlight w:val="none"/>
              </w:rPr>
              <w:t>19.40-33.17</w:t>
            </w:r>
          </w:p>
        </w:tc>
      </w:tr>
    </w:tbl>
    <w:p w14:paraId="29549E05">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本村镇银行定期对固定资产进行减值检查，当固定资产的可收回金额低于其账面价值时，账面价值减记至可收回金额。</w:t>
      </w:r>
    </w:p>
    <w:p w14:paraId="2CA5A77A">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固定资产出售、转让、报废的处置收入扣除其账面价值后的差额计入当期损益。</w:t>
      </w:r>
    </w:p>
    <w:p w14:paraId="1FA4470B">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在建工程的核算方法</w:t>
      </w:r>
    </w:p>
    <w:p w14:paraId="5FAFD09E">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在建工程按实际成本计量。在建工程在达到预定可使用状态后，按工程的实际成本确认为固定资产。</w:t>
      </w:r>
    </w:p>
    <w:p w14:paraId="22F13177">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在建工程在达到预定可使用状态时，转入固定资产并自次月起开始计提折旧。</w:t>
      </w:r>
    </w:p>
    <w:p w14:paraId="5B406608">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本村镇银行定期对在建工程进行减值检查，当在建工程的可收回金额低于其账面价值时，账面价值减记至可收回金额。</w:t>
      </w:r>
    </w:p>
    <w:p w14:paraId="7FD593EE">
      <w:pPr>
        <w:pStyle w:val="3"/>
        <w:keepNext w:val="0"/>
        <w:keepLines w:val="0"/>
        <w:numPr>
          <w:ilvl w:val="0"/>
          <w:numId w:val="2"/>
        </w:numPr>
        <w:spacing w:before="0" w:after="0" w:line="480" w:lineRule="exact"/>
        <w:ind w:left="0" w:firstLine="482" w:firstLineChars="200"/>
        <w:rPr>
          <w:rFonts w:ascii="宋体" w:hAnsi="宋体" w:eastAsia="宋体"/>
          <w:bCs w:val="0"/>
          <w:sz w:val="24"/>
          <w:szCs w:val="24"/>
          <w:highlight w:val="none"/>
        </w:rPr>
      </w:pPr>
      <w:r>
        <w:rPr>
          <w:rFonts w:hint="eastAsia" w:ascii="宋体" w:hAnsi="宋体" w:eastAsia="宋体"/>
          <w:bCs w:val="0"/>
          <w:sz w:val="24"/>
          <w:szCs w:val="24"/>
          <w:highlight w:val="none"/>
        </w:rPr>
        <w:t>使用权资产</w:t>
      </w:r>
    </w:p>
    <w:p w14:paraId="1173B32B">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使用权资产类别主要包括房屋建筑物。</w:t>
      </w:r>
    </w:p>
    <w:p w14:paraId="42D8DC96">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1、使用权资产确认条件 </w:t>
      </w:r>
    </w:p>
    <w:p w14:paraId="6F762013">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使用权资产是指本村镇银行作为承租人可在租赁期内使用租赁资产的权利。本村镇银行在租赁期开始日对租赁确认使用权资产。使用权资产在同时满足经济利益很可能流入、成本能够可靠计量时予以确认。</w:t>
      </w:r>
    </w:p>
    <w:p w14:paraId="2952B59D">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2、使用权资产的初始计量</w:t>
      </w:r>
    </w:p>
    <w:p w14:paraId="07541C9D">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使用权资产按照成本进行初始计量，该成本包括：</w:t>
      </w:r>
    </w:p>
    <w:p w14:paraId="7365364C">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（1）租赁负债的初始计量金额；</w:t>
      </w:r>
    </w:p>
    <w:p w14:paraId="0D998243">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（2）在租赁期开始日或之前支付的租赁付款额，存在租赁激励的，扣除已享受的租赁激励相关金额；</w:t>
      </w:r>
    </w:p>
    <w:p w14:paraId="2BAB3D79">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（3）承租人发生的初始直接费用；</w:t>
      </w:r>
    </w:p>
    <w:p w14:paraId="0695E001">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（4）承租人为拆卸及移除租赁资产、复原租赁资产所在场地或将租赁资产恢复至租赁条款约定状态预计将发生的成本。</w:t>
      </w:r>
    </w:p>
    <w:p w14:paraId="5B0DD6A8">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使用权资产的后续计量</w:t>
      </w:r>
    </w:p>
    <w:p w14:paraId="2EBC4F55">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（1）采用成本模式对使用权资产进行后续计量。</w:t>
      </w:r>
    </w:p>
    <w:p w14:paraId="38827D11">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（2）对使用权资产计提折旧。本村镇银行参照《企业会计准则第 4 号——固定资产》有关折旧规定，对使用权资产计提折旧。能够合理确定租赁期届满时取得租赁资产所有权的，本村镇银行在租赁资产剩余使用寿命内计提折旧。无法合理确定租赁期届满时能够取得租赁资产所有权的，本村镇银行在租赁期与租赁资产剩余使用寿命两者孰短的期间内计提折旧。</w:t>
      </w:r>
    </w:p>
    <w:p w14:paraId="4EDBC9CE">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4、使用权资产的减值测试方法、减值准备计提方法</w:t>
      </w:r>
    </w:p>
    <w:p w14:paraId="704426F9">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本村镇银行按照《企业会计准则第 8 号——资产减值》的规定来确定使用权资产是否已发生减值，并对已识别的减值损失进行会计处理。</w:t>
      </w:r>
    </w:p>
    <w:p w14:paraId="287924B7">
      <w:pPr>
        <w:pStyle w:val="3"/>
        <w:keepNext w:val="0"/>
        <w:keepLines w:val="0"/>
        <w:numPr>
          <w:ilvl w:val="0"/>
          <w:numId w:val="2"/>
        </w:numPr>
        <w:spacing w:before="0" w:after="0" w:line="480" w:lineRule="exact"/>
        <w:ind w:left="0" w:firstLine="482" w:firstLineChars="200"/>
        <w:rPr>
          <w:rFonts w:ascii="宋体" w:hAnsi="宋体" w:eastAsia="宋体"/>
          <w:bCs w:val="0"/>
          <w:sz w:val="24"/>
          <w:szCs w:val="24"/>
          <w:highlight w:val="none"/>
        </w:rPr>
      </w:pPr>
      <w:r>
        <w:rPr>
          <w:rFonts w:hint="eastAsia" w:ascii="宋体" w:hAnsi="宋体" w:eastAsia="宋体" w:cs="宋体"/>
          <w:bCs w:val="0"/>
          <w:sz w:val="24"/>
          <w:szCs w:val="24"/>
          <w:highlight w:val="none"/>
        </w:rPr>
        <w:t>无形资产的确认和计量</w:t>
      </w:r>
    </w:p>
    <w:p w14:paraId="0DDAD191">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本村镇银行无形资产是指本村镇银行所拥有或者控制的没有实物形态的可辨认非货币性资产。</w:t>
      </w:r>
    </w:p>
    <w:p w14:paraId="568F7548">
      <w:pPr>
        <w:autoSpaceDE w:val="0"/>
        <w:autoSpaceDN w:val="0"/>
        <w:spacing w:line="480" w:lineRule="exact"/>
        <w:ind w:firstLine="480" w:firstLineChars="200"/>
        <w:jc w:val="left"/>
        <w:rPr>
          <w:rFonts w:ascii="宋体" w:hAnsi="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无形资产的确认</w:t>
      </w:r>
    </w:p>
    <w:p w14:paraId="4847DC73">
      <w:pPr>
        <w:autoSpaceDE w:val="0"/>
        <w:autoSpaceDN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本村镇银行在同时满足下列条件时，予以确认无形资产：</w:t>
      </w:r>
    </w:p>
    <w:p w14:paraId="0D49FBC2">
      <w:pPr>
        <w:autoSpaceDE w:val="0"/>
        <w:autoSpaceDN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）与该无形资产有关的经济利益很可能流入企业；</w:t>
      </w:r>
    </w:p>
    <w:p w14:paraId="1D3DFFD2">
      <w:pPr>
        <w:autoSpaceDE w:val="0"/>
        <w:autoSpaceDN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）该无形资产的成本能够可靠地计量。</w:t>
      </w:r>
    </w:p>
    <w:p w14:paraId="5ABC1D8C">
      <w:pPr>
        <w:autoSpaceDE w:val="0"/>
        <w:autoSpaceDN w:val="0"/>
        <w:spacing w:line="480" w:lineRule="exact"/>
        <w:ind w:firstLine="480" w:firstLineChars="200"/>
        <w:jc w:val="left"/>
        <w:rPr>
          <w:rFonts w:ascii="宋体" w:hAnsi="宋体"/>
          <w:color w:val="000000"/>
          <w:kern w:val="0"/>
          <w:sz w:val="24"/>
          <w:szCs w:val="24"/>
          <w:highlight w:val="none"/>
        </w:rPr>
      </w:pP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无形资产的计量</w:t>
      </w:r>
    </w:p>
    <w:p w14:paraId="33D43DBC">
      <w:pPr>
        <w:autoSpaceDE w:val="0"/>
        <w:autoSpaceDN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）本村镇银行无形资产按照成本进行初始计量。</w:t>
      </w:r>
    </w:p>
    <w:p w14:paraId="6425B39E">
      <w:pPr>
        <w:autoSpaceDE w:val="0"/>
        <w:autoSpaceDN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）无形资产的后续计量</w:t>
      </w:r>
    </w:p>
    <w:p w14:paraId="73780FBF">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无形资产以成本减累计摊销</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仅限于使用寿命有限的无形资产</w:t>
      </w: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及减值准备在资产负债表内列示。</w:t>
      </w:r>
    </w:p>
    <w:p w14:paraId="307D0272">
      <w:pPr>
        <w:autoSpaceDE w:val="0"/>
        <w:autoSpaceDN w:val="0"/>
        <w:spacing w:line="480" w:lineRule="exact"/>
        <w:ind w:firstLine="480" w:firstLineChars="200"/>
        <w:rPr>
          <w:rFonts w:ascii="宋体" w:hAnsi="宋体"/>
          <w:color w:val="000000"/>
          <w:sz w:val="24"/>
          <w:highlight w:val="none"/>
        </w:rPr>
      </w:pPr>
      <w:r>
        <w:rPr>
          <w:rFonts w:hint="eastAsia" w:ascii="宋体" w:hAnsi="宋体" w:cs="宋体"/>
          <w:color w:val="000000"/>
          <w:kern w:val="0"/>
          <w:sz w:val="24"/>
          <w:szCs w:val="24"/>
          <w:highlight w:val="none"/>
        </w:rPr>
        <w:t>对于使用寿命有限的无形资产，本村镇银行将无形资产的成本扣除预计净残值和累计减值准备后按直线法在预计使用寿命期内摊销，除非该无形资产符合持有待售的条件。</w:t>
      </w:r>
    </w:p>
    <w:p w14:paraId="3A40E120">
      <w:pPr>
        <w:pStyle w:val="3"/>
        <w:keepNext w:val="0"/>
        <w:keepLines w:val="0"/>
        <w:numPr>
          <w:ilvl w:val="0"/>
          <w:numId w:val="2"/>
        </w:numPr>
        <w:spacing w:before="0" w:after="0" w:line="480" w:lineRule="exact"/>
        <w:ind w:left="0" w:firstLine="482" w:firstLineChars="200"/>
        <w:rPr>
          <w:rFonts w:ascii="宋体" w:hAnsi="宋体" w:eastAsia="宋体"/>
          <w:bCs w:val="0"/>
          <w:sz w:val="24"/>
          <w:szCs w:val="24"/>
          <w:highlight w:val="none"/>
        </w:rPr>
      </w:pPr>
      <w:r>
        <w:rPr>
          <w:rFonts w:hint="eastAsia" w:ascii="宋体" w:hAnsi="宋体" w:eastAsia="宋体" w:cs="宋体"/>
          <w:bCs w:val="0"/>
          <w:sz w:val="24"/>
          <w:szCs w:val="24"/>
          <w:highlight w:val="none"/>
        </w:rPr>
        <w:t>其他资产的核算方法</w:t>
      </w:r>
    </w:p>
    <w:p w14:paraId="2F47F7E1">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长期待摊费用</w:t>
      </w:r>
    </w:p>
    <w:p w14:paraId="19168480">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长期待摊费用包括经营租入固定资产改良及其他已经发生但应由本期和以后各期负担的、分摊期限在一年以上的各项费用，按预计受益期间分期平均摊销，并以实际支出减去累计摊销后的净额列示。</w:t>
      </w:r>
    </w:p>
    <w:p w14:paraId="4D5772E8">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待处理抵债资产</w:t>
      </w:r>
    </w:p>
    <w:p w14:paraId="3609CF41">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待处理抵债资产按取得时的公允价值入账，公允价值与相关资产账面价值及支付的税费之间的差额计入当期损益。</w:t>
      </w:r>
    </w:p>
    <w:p w14:paraId="78909F0E">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当有迹象表明抵债资产的可变现净值低于账面价值时，本村镇银行将账面价值调减至可变现净值。</w:t>
      </w:r>
    </w:p>
    <w:p w14:paraId="169BECD4">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其他应收款项</w:t>
      </w:r>
    </w:p>
    <w:p w14:paraId="25D7CF25">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本村镇银行按照其他应收款的项目和对方单位（个人）进行明细核算。本村镇银行定期分析各项其他应收款项的可收回性，当应收款项的可收回金额低于其账面价值时，计提坏账准备。</w:t>
      </w:r>
    </w:p>
    <w:p w14:paraId="39D52391">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受托贷款业务</w:t>
      </w:r>
    </w:p>
    <w:p w14:paraId="1999E4C5">
      <w:pPr>
        <w:spacing w:line="480" w:lineRule="exact"/>
        <w:ind w:firstLine="480" w:firstLineChars="200"/>
        <w:rPr>
          <w:rFonts w:ascii="宋体" w:hAnsi="宋体"/>
          <w:highlight w:val="none"/>
        </w:rPr>
      </w:pPr>
      <w:r>
        <w:rPr>
          <w:rFonts w:hint="eastAsia" w:ascii="宋体" w:hAnsi="宋体" w:cs="宋体"/>
          <w:sz w:val="24"/>
          <w:szCs w:val="24"/>
          <w:highlight w:val="none"/>
        </w:rPr>
        <w:t>受托贷款是由委托人提供资金，并按照委托人确定的贷款对象、用途、期限、利率，而代理发放、监督、使用和协助收回的贷款，风险由委托人承担。本村镇银行进行受托贷款业务只收取手续费，不代垫资金，不承担信用风险。</w:t>
      </w:r>
    </w:p>
    <w:p w14:paraId="595DF069">
      <w:pPr>
        <w:pStyle w:val="3"/>
        <w:keepNext w:val="0"/>
        <w:keepLines w:val="0"/>
        <w:numPr>
          <w:ilvl w:val="0"/>
          <w:numId w:val="0"/>
        </w:numPr>
        <w:spacing w:before="0" w:after="0" w:line="480" w:lineRule="exact"/>
        <w:ind w:leftChars="20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职工薪酬</w:t>
      </w:r>
    </w:p>
    <w:p w14:paraId="3D6F93F6">
      <w:pPr>
        <w:spacing w:line="480" w:lineRule="exact"/>
        <w:ind w:firstLine="480" w:firstLineChars="200"/>
        <w:rPr>
          <w:rFonts w:ascii="宋体" w:hAnsi="宋体"/>
          <w:sz w:val="24"/>
          <w:szCs w:val="24"/>
          <w:highlight w:val="none"/>
        </w:rPr>
      </w:pPr>
      <w:r>
        <w:rPr>
          <w:rFonts w:hint="eastAsia" w:ascii="宋体" w:hAnsi="宋体"/>
          <w:sz w:val="24"/>
          <w:szCs w:val="24"/>
          <w:highlight w:val="none"/>
        </w:rPr>
        <w:t>职工薪酬，是指本村镇银行为获得职工提供的服务或解除劳动关系而给予的各种形式的报酬或补偿。职工薪酬包括短期薪酬、离职后福利、辞退福利和其他长期职工福利。本村镇银行提供给职工配偶、子女、受赡养人、已故员工遗属及其他受益人等的福利，也属于职工薪酬。</w:t>
      </w:r>
    </w:p>
    <w:p w14:paraId="21BF84F4">
      <w:pPr>
        <w:spacing w:line="480" w:lineRule="exact"/>
        <w:ind w:firstLine="480" w:firstLineChars="200"/>
        <w:rPr>
          <w:rFonts w:ascii="宋体" w:hAnsi="宋体"/>
          <w:sz w:val="24"/>
          <w:szCs w:val="24"/>
          <w:highlight w:val="none"/>
        </w:rPr>
      </w:pPr>
      <w:r>
        <w:rPr>
          <w:rFonts w:hint="eastAsia" w:ascii="宋体" w:hAnsi="宋体"/>
          <w:sz w:val="24"/>
          <w:szCs w:val="24"/>
          <w:highlight w:val="none"/>
        </w:rPr>
        <w:t>本村镇银行在职工提供服务的会计期间，将应付的职工薪酬确认为负债，计入业务及管理费。因解除与职工的劳动关系而给予的补偿，计入当期损益。</w:t>
      </w:r>
    </w:p>
    <w:p w14:paraId="5EB0C3A5">
      <w:pPr>
        <w:spacing w:line="480" w:lineRule="exact"/>
        <w:ind w:firstLine="480" w:firstLineChars="200"/>
        <w:rPr>
          <w:rFonts w:ascii="宋体" w:hAnsi="宋体"/>
          <w:sz w:val="24"/>
          <w:szCs w:val="24"/>
          <w:highlight w:val="none"/>
        </w:rPr>
      </w:pPr>
      <w:r>
        <w:rPr>
          <w:rFonts w:hint="eastAsia" w:ascii="宋体" w:hAnsi="宋体"/>
          <w:sz w:val="24"/>
          <w:szCs w:val="24"/>
          <w:highlight w:val="none"/>
        </w:rPr>
        <w:t>本村镇银行按规定参加由政府机构设立的社会保障计划，包括养老及医疗保险、住房公积金等，保险费及公积金按工资总额的一定比例且在不超过有关规定上限的基础上提取并向劳动和社会保障机构缴纳，相应支出计入利润表中的“业务及管理费”。</w:t>
      </w:r>
    </w:p>
    <w:p w14:paraId="3C02262C">
      <w:pPr>
        <w:pStyle w:val="3"/>
        <w:keepNext w:val="0"/>
        <w:keepLines w:val="0"/>
        <w:numPr>
          <w:ilvl w:val="0"/>
          <w:numId w:val="0"/>
        </w:numPr>
        <w:spacing w:before="0" w:after="0" w:line="480" w:lineRule="exact"/>
        <w:ind w:leftChars="200"/>
        <w:rPr>
          <w:rFonts w:ascii="宋体" w:hAnsi="宋体" w:eastAsia="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十一</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租赁负债的确认和计量</w:t>
      </w:r>
    </w:p>
    <w:p w14:paraId="4E21A039">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除短期租赁和低价值资产租赁外，本村镇银行在租赁期开始日按照该日尚未支付的租赁付款额的现值对租赁负债进行初始计量。在计算租赁付款额的现值时，本村镇银行采用租赁内含利率作为折现率，无法确定租赁内含利率的，采用增量借款利率作为折现率。</w:t>
      </w:r>
    </w:p>
    <w:p w14:paraId="2489C144">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租赁付款额是指本村镇银行向出租人支付的与在租赁期内使用租赁资产的权利相关的款项，包括：</w:t>
      </w:r>
    </w:p>
    <w:p w14:paraId="20A2D01C">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1、固定付款额及实质固定付款额，存在租赁激励的，扣除租赁激励相关金额；</w:t>
      </w:r>
    </w:p>
    <w:p w14:paraId="051EB7B1">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2、取决于指数或比率的可变租赁付款额；</w:t>
      </w:r>
    </w:p>
    <w:p w14:paraId="0A560392">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3、本村镇银行合理确定将行使的购买选择权的行权价格；</w:t>
      </w:r>
    </w:p>
    <w:p w14:paraId="3727785B">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4、租赁期反映出本村镇银行将行使终止租赁选择权的，行使终止租赁选择权需支付的款项；</w:t>
      </w:r>
    </w:p>
    <w:p w14:paraId="643AE22F">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5、根据本村镇银行提供的担保余值预计应支付的款项。</w:t>
      </w:r>
    </w:p>
    <w:p w14:paraId="172E659A">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取决于指数或比率的可变租赁付款额在初始计量时根据租赁期开始日的指数或比率确定。未纳入租赁负债计量的可变租赁付款额在实际发生时计入当期损益或相关资产成本。租赁期开始日后，本村镇银行按照固定的周期性利率计算租赁负债在租赁期内各期间的利息费用，并计入当期损益或相关资产成本。</w:t>
      </w:r>
    </w:p>
    <w:p w14:paraId="1F050D2F">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在租赁期开始日后，发生下列情形的，本村镇银行重新计量租赁负债，并调整相应的使用权资产，若使用权资产的账面价值已调减至零，但租赁负债仍需进一步调减的，本公司将差额计入当期损益：</w:t>
      </w:r>
    </w:p>
    <w:p w14:paraId="1AB28E57">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1、因租赁期变化或购买选择权的评估结果发生变化的，本村镇银行按变动后租赁付款额和修订后的折现率计算的现值重新计量租赁负债；</w:t>
      </w:r>
    </w:p>
    <w:p w14:paraId="431A51D1">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根据担保余值预计的应付金额或者用于确定租赁付款额的指数或者比率发生变动，本村镇银行按照变动后的租赁付款额和原折现率计算的现值重新计量租赁负债。租赁付款额的变动源自浮动利率变动的，使用修订后的折现率计算现值。</w:t>
      </w:r>
    </w:p>
    <w:p w14:paraId="26A14D7A">
      <w:pPr>
        <w:autoSpaceDE w:val="0"/>
        <w:autoSpaceDN w:val="0"/>
        <w:spacing w:line="480" w:lineRule="exact"/>
        <w:ind w:firstLine="480" w:firstLineChars="200"/>
        <w:jc w:val="left"/>
        <w:rPr>
          <w:rFonts w:ascii="宋体" w:hAnsi="宋体"/>
          <w:color w:val="339966"/>
          <w:kern w:val="0"/>
          <w:sz w:val="24"/>
          <w:szCs w:val="24"/>
          <w:highlight w:val="none"/>
        </w:rPr>
      </w:pPr>
      <w:r>
        <w:rPr>
          <w:rFonts w:hint="eastAsia" w:asciiTheme="minorEastAsia" w:hAnsiTheme="minorEastAsia" w:eastAsiaTheme="minorEastAsia"/>
          <w:sz w:val="24"/>
          <w:szCs w:val="24"/>
          <w:highlight w:val="none"/>
        </w:rPr>
        <w:t>租赁负债根据其流动性在资产负债表中列报为流动负债或非流动负债，自资产负债表日起一年内到期应予以清偿的非流动租赁负债的期末账面价值，在“一年内到期的非流动负债”项目反映</w:t>
      </w:r>
      <w:r>
        <w:rPr>
          <w:rFonts w:hint="eastAsia" w:ascii="宋体" w:hAnsi="宋体" w:cs="宋体"/>
          <w:kern w:val="0"/>
          <w:sz w:val="24"/>
          <w:szCs w:val="24"/>
          <w:highlight w:val="none"/>
        </w:rPr>
        <w:t>。</w:t>
      </w:r>
    </w:p>
    <w:p w14:paraId="76888F12">
      <w:pPr>
        <w:pStyle w:val="3"/>
        <w:keepNext w:val="0"/>
        <w:keepLines w:val="0"/>
        <w:numPr>
          <w:ilvl w:val="0"/>
          <w:numId w:val="0"/>
        </w:numPr>
        <w:spacing w:before="0" w:after="0" w:line="480" w:lineRule="exact"/>
        <w:ind w:leftChars="200"/>
        <w:rPr>
          <w:rFonts w:ascii="宋体" w:hAnsi="宋体" w:eastAsia="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十二</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收入、支出</w:t>
      </w:r>
    </w:p>
    <w:p w14:paraId="6BC6F80E">
      <w:pPr>
        <w:pStyle w:val="35"/>
        <w:adjustRightInd/>
        <w:spacing w:line="480" w:lineRule="exact"/>
        <w:ind w:firstLine="480" w:firstLineChars="200"/>
        <w:jc w:val="both"/>
        <w:rPr>
          <w:rFonts w:ascii="宋体" w:hAnsi="宋体" w:eastAsia="宋体" w:cs="Times New Roman"/>
          <w:color w:val="auto"/>
          <w:kern w:val="2"/>
          <w:highlight w:val="none"/>
        </w:rPr>
      </w:pPr>
      <w:r>
        <w:rPr>
          <w:rFonts w:hint="eastAsia" w:ascii="宋体" w:hAnsi="宋体" w:eastAsia="宋体" w:cs="宋体"/>
          <w:color w:val="auto"/>
          <w:kern w:val="2"/>
          <w:highlight w:val="none"/>
        </w:rPr>
        <w:t>收入是本村镇银行在日常活动中形成的、会导致股东权益增加且与股东投入资本无关的经济利益的总流入。收入在其金额及相关成本能够可靠计量、相关的经济利益很可能流入本村镇银行、并且同时满足以下不同类型收入的其他确认条件时，予以确认。</w:t>
      </w:r>
    </w:p>
    <w:p w14:paraId="3F82EEA8">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利息收入和支出</w:t>
      </w:r>
    </w:p>
    <w:p w14:paraId="76BFB910">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本村镇银行利息收入或支出于产生时以实际利率计量。如果有客观证据表明实际利率与合同利率分别计算的各期利息收入、支出相差较小，可按合同利率计算确定。</w:t>
      </w:r>
    </w:p>
    <w:p w14:paraId="1DB0E3B1">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手续费和佣金收入</w:t>
      </w:r>
    </w:p>
    <w:p w14:paraId="0A7AEB3A">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手续费和佣金收入根据权责发生制原则在提供相关服务时确认。</w:t>
      </w:r>
    </w:p>
    <w:p w14:paraId="15A7B248">
      <w:pPr>
        <w:pStyle w:val="3"/>
        <w:keepNext w:val="0"/>
        <w:keepLines w:val="0"/>
        <w:numPr>
          <w:ilvl w:val="0"/>
          <w:numId w:val="0"/>
        </w:numPr>
        <w:spacing w:before="0" w:after="0" w:line="480" w:lineRule="exact"/>
        <w:ind w:leftChars="200"/>
        <w:rPr>
          <w:rFonts w:ascii="宋体" w:hAnsi="宋体" w:eastAsia="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十三</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政府补助的确认和计量</w:t>
      </w:r>
    </w:p>
    <w:p w14:paraId="41217BD4">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sz w:val="24"/>
          <w:szCs w:val="24"/>
          <w:highlight w:val="none"/>
        </w:rPr>
        <w:t>本村镇银行的政府补助分为与资产相关的政府补助和与收益相关的政府补助。与资</w:t>
      </w:r>
      <w:r>
        <w:rPr>
          <w:rFonts w:hint="eastAsia" w:ascii="宋体" w:hAnsi="宋体" w:cs="宋体"/>
          <w:kern w:val="0"/>
          <w:sz w:val="24"/>
          <w:szCs w:val="24"/>
          <w:highlight w:val="none"/>
        </w:rPr>
        <w:t>产相关的政府补助，是指本村镇银行取得的、用于购建或以其他方式形成长期资产的政府补助。与收益相关的政府补助，是指除与资产相关的政府补助之外的政府补助。如果政府补助文件未明确确定补助对象，除有确凿证据证明属于与资产相关的政府补助外，本村镇银行将其划分为与收益相关的政府补助。</w:t>
      </w:r>
    </w:p>
    <w:p w14:paraId="623727AD">
      <w:pPr>
        <w:autoSpaceDE w:val="0"/>
        <w:autoSpaceDN w:val="0"/>
        <w:spacing w:line="480" w:lineRule="exact"/>
        <w:ind w:firstLine="480" w:firstLineChars="200"/>
        <w:rPr>
          <w:rFonts w:ascii="宋体" w:hAnsi="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政府补助的确认</w:t>
      </w:r>
    </w:p>
    <w:p w14:paraId="1EFEE264">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本村镇银行收到政府无偿拨入的货币性资产或非货币性资产，同时满足下列条件时，确认为政府补助：</w:t>
      </w:r>
    </w:p>
    <w:p w14:paraId="3C62AAF3">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）能够满足政府补助所附条件；</w:t>
      </w:r>
    </w:p>
    <w:p w14:paraId="7152C044">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）能够收到政府补助。</w:t>
      </w:r>
    </w:p>
    <w:p w14:paraId="489644C6">
      <w:pPr>
        <w:autoSpaceDE w:val="0"/>
        <w:autoSpaceDN w:val="0"/>
        <w:spacing w:line="480" w:lineRule="exact"/>
        <w:ind w:firstLine="480" w:firstLineChars="200"/>
        <w:rPr>
          <w:rFonts w:ascii="宋体" w:hAns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政府补助的计量：</w:t>
      </w:r>
    </w:p>
    <w:p w14:paraId="02A7E923">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）政府补助为货币性资产的，按照收到或应收的金额计量。政府补助为非货币性资产的，按照公允价值计量；公允价值不能可靠取得的，按照名义金额计量。</w:t>
      </w:r>
    </w:p>
    <w:p w14:paraId="09CD818C">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与资产相关的政府补助，取得时确认为递延收益，自相关资产达到预定可使用状态时，在该资产使用寿命内平均分配，分次计入以后各期的损益。相关资产在使用寿命结束前被出售、转让、报废或发生毁损的，将尚未分配的递延收益余额一次性转入资产处置当期的损益。</w:t>
      </w:r>
    </w:p>
    <w:p w14:paraId="5A08A467">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与收益相关的政府补助，用于补偿以后期间的相关费用或损失的，取得时确认为递延收益，在确认相关费用的期间计入当期损益；用于补偿已发生的相关费用或损失的，取得时直接计入当期损益。</w:t>
      </w:r>
    </w:p>
    <w:p w14:paraId="54754D2F">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）已确认的政府补助需要返还的，分别下列情况处理：</w:t>
      </w:r>
    </w:p>
    <w:p w14:paraId="39B0A749">
      <w:pPr>
        <w:autoSpaceDE w:val="0"/>
        <w:autoSpaceDN w:val="0"/>
        <w:spacing w:line="480" w:lineRule="exact"/>
        <w:ind w:firstLine="480" w:firstLineChars="200"/>
        <w:rPr>
          <w:rFonts w:ascii="宋体" w:hAnsi="宋体"/>
          <w:kern w:val="0"/>
          <w:sz w:val="24"/>
          <w:szCs w:val="24"/>
          <w:highlight w:val="none"/>
        </w:rPr>
      </w:pPr>
      <w:r>
        <w:rPr>
          <w:rFonts w:hint="eastAsia" w:ascii="宋体" w:hAnsi="宋体" w:cs="宋体"/>
          <w:kern w:val="0"/>
          <w:sz w:val="24"/>
          <w:szCs w:val="24"/>
          <w:highlight w:val="none"/>
        </w:rPr>
        <w:t>①存在相关递延收益的，冲减相关递延收益账面余额，超出部分计入当期损益。</w:t>
      </w:r>
    </w:p>
    <w:p w14:paraId="69DF77F7">
      <w:pPr>
        <w:numPr>
          <w:ilvl w:val="0"/>
          <w:numId w:val="3"/>
        </w:numPr>
        <w:autoSpaceDE w:val="0"/>
        <w:autoSpaceDN w:val="0"/>
        <w:spacing w:line="480" w:lineRule="exact"/>
        <w:ind w:left="0" w:firstLine="480" w:firstLineChars="200"/>
        <w:rPr>
          <w:rFonts w:ascii="宋体" w:hAnsi="宋体"/>
          <w:kern w:val="0"/>
          <w:sz w:val="24"/>
          <w:szCs w:val="24"/>
          <w:highlight w:val="none"/>
        </w:rPr>
      </w:pPr>
      <w:r>
        <w:rPr>
          <w:rFonts w:hint="eastAsia" w:ascii="宋体" w:hAnsi="宋体" w:cs="宋体"/>
          <w:kern w:val="0"/>
          <w:sz w:val="24"/>
          <w:szCs w:val="24"/>
          <w:highlight w:val="none"/>
        </w:rPr>
        <w:t>不存在相关递延收益的，直接计入当期损益。</w:t>
      </w:r>
    </w:p>
    <w:p w14:paraId="5134AF8D">
      <w:pPr>
        <w:pStyle w:val="3"/>
        <w:keepNext w:val="0"/>
        <w:keepLines w:val="0"/>
        <w:numPr>
          <w:ilvl w:val="0"/>
          <w:numId w:val="0"/>
        </w:numPr>
        <w:spacing w:before="0" w:after="0" w:line="480" w:lineRule="exact"/>
        <w:ind w:leftChars="200"/>
        <w:rPr>
          <w:rFonts w:ascii="宋体" w:hAnsi="宋体" w:eastAsia="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十四</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所得税会计处理方法</w:t>
      </w:r>
    </w:p>
    <w:p w14:paraId="05F64C20">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本村镇银行采用资产负债表债务法进行所得税会计处理。</w:t>
      </w:r>
    </w:p>
    <w:p w14:paraId="391C1491">
      <w:pPr>
        <w:autoSpaceDE w:val="0"/>
        <w:autoSpaceDN w:val="0"/>
        <w:spacing w:line="480" w:lineRule="exact"/>
        <w:ind w:firstLine="480" w:firstLineChars="200"/>
        <w:rPr>
          <w:rFonts w:ascii="宋体" w:hAnsi="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递延所得税资产</w:t>
      </w:r>
    </w:p>
    <w:p w14:paraId="3F586B94">
      <w:pPr>
        <w:autoSpaceDE w:val="0"/>
        <w:autoSpaceDN w:val="0"/>
        <w:spacing w:line="480" w:lineRule="exact"/>
        <w:ind w:firstLine="480" w:firstLineChars="200"/>
        <w:rPr>
          <w:rFonts w:ascii="宋体" w:hAnsi="宋体"/>
          <w:color w:val="00FF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资产、负债的账面价值与其计税基础存在可抵扣暂时性差异的，以未来期间很可能取得的用以抵扣可抵扣暂时性差异的应纳税所得额为限，按照预期收回该资产或清偿该负债期间的适用税率，计算确认由可抵扣暂时性差异产生的递延所得税资产。</w:t>
      </w:r>
    </w:p>
    <w:p w14:paraId="26D08E91">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）资产负债表日，有确凿证据表明未来期间很可能获得足够的应纳税所得额用来抵扣可抵扣暂时性差异的，确认以前期间未确认的递延所得税资产。</w:t>
      </w:r>
    </w:p>
    <w:p w14:paraId="45198C0B">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资产负债表日，对递延所得税资产的账面价值进行复核。如果未来期间很可能无法获得足够的应纳税所得额用以抵扣递延所得税资产的利益，减记递延所得税资产的账面价值。在很可能获得足够的应纳税所得额时，转回减记的金额。</w:t>
      </w:r>
    </w:p>
    <w:p w14:paraId="378E9E34">
      <w:pPr>
        <w:autoSpaceDE w:val="0"/>
        <w:autoSpaceDN w:val="0"/>
        <w:spacing w:line="480" w:lineRule="exact"/>
        <w:ind w:firstLine="480" w:firstLineChars="200"/>
        <w:rPr>
          <w:rFonts w:ascii="宋体" w:hAnsi="宋体"/>
          <w:color w:val="000000"/>
          <w:kern w:val="0"/>
          <w:sz w:val="24"/>
          <w:szCs w:val="24"/>
          <w:highlight w:val="none"/>
        </w:rPr>
      </w:pP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递延所得税负债</w:t>
      </w:r>
    </w:p>
    <w:p w14:paraId="71F678B8">
      <w:pPr>
        <w:autoSpaceDE w:val="0"/>
        <w:autoSpaceDN w:val="0"/>
        <w:spacing w:line="480" w:lineRule="exact"/>
        <w:ind w:firstLine="480" w:firstLineChars="200"/>
        <w:rPr>
          <w:rFonts w:ascii="宋体" w:hAnsi="宋体"/>
          <w:color w:val="000000"/>
          <w:kern w:val="0"/>
          <w:sz w:val="24"/>
          <w:szCs w:val="24"/>
          <w:highlight w:val="none"/>
        </w:rPr>
      </w:pPr>
      <w:r>
        <w:rPr>
          <w:rFonts w:hint="eastAsia" w:ascii="宋体" w:hAnsi="宋体" w:cs="宋体"/>
          <w:color w:val="000000"/>
          <w:kern w:val="0"/>
          <w:sz w:val="24"/>
          <w:szCs w:val="24"/>
          <w:highlight w:val="none"/>
        </w:rPr>
        <w:t>资产、负债的账面价值与其计税基础存在应纳税暂时性差异的，按照预期收回该资产或清偿该负债期间的适用税率，确认由应纳税暂时性差异产生的递延所得税负债。</w:t>
      </w:r>
    </w:p>
    <w:p w14:paraId="0C9CAAD4">
      <w:pPr>
        <w:pStyle w:val="3"/>
        <w:keepNext w:val="0"/>
        <w:keepLines w:val="0"/>
        <w:numPr>
          <w:ilvl w:val="0"/>
          <w:numId w:val="0"/>
        </w:numPr>
        <w:spacing w:before="0" w:after="0" w:line="480" w:lineRule="exact"/>
        <w:ind w:leftChars="20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十五</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租赁会计处理</w:t>
      </w:r>
    </w:p>
    <w:p w14:paraId="1965A0F3">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以下租赁会计政策适用于2021年度及以后：</w:t>
      </w:r>
    </w:p>
    <w:p w14:paraId="33A63DB1">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租赁是指本村镇银行让渡或取得了在一定期间内控制一项或多项已识别资产使用的权利以换取或支付对价的合同。在一项合同开始日，本村镇银行评估合同是否为租赁或包含租赁。</w:t>
      </w:r>
    </w:p>
    <w:p w14:paraId="0FCF416C">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1、本村镇银行作为承租人</w:t>
      </w:r>
    </w:p>
    <w:p w14:paraId="2266C714">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本村镇银行租赁资产的类别主要为房屋建筑物。</w:t>
      </w:r>
    </w:p>
    <w:p w14:paraId="6D28CC63">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（1）初始计量</w:t>
      </w:r>
    </w:p>
    <w:p w14:paraId="1AADA86D">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在租赁期开始日，本村镇银行将可在租赁期内使用租赁资产的权利确认为使用权资产，将尚未支付的租赁付款额的现值确认为租赁负债（短期租赁和低价值资产租赁除外）。在计算租赁付款额的现值时，本村镇银行采用租赁内含利率作为折现率；无法确定租赁内含利率的，采用承租人增量借款利率作为折现率。</w:t>
      </w:r>
    </w:p>
    <w:p w14:paraId="29921768">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（2）后续计量</w:t>
      </w:r>
    </w:p>
    <w:p w14:paraId="18594D5E">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本村镇银行自租赁期开始的当月对使用权资产计提折旧，能够合理确定租赁期届满时取得租赁资产所有权的，本村镇银行在租赁资产剩余使用寿命内计提折旧。无法合理确定租赁期届满时能够取得租赁资产所有权的，本村镇银行在租赁期与租赁资产剩余使用寿命两者孰短的期间内计提折旧。</w:t>
      </w:r>
    </w:p>
    <w:p w14:paraId="413AD750">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对于租赁负债，本村镇银行按照固定的周期性利率计算其在租赁期内各期间的利息费用，计入当期损益或计入相关资产成本。未纳入租赁负债计量的可变租赁付款额在实际发生时计入当期损益或相关资产成本。</w:t>
      </w:r>
    </w:p>
    <w:p w14:paraId="312547FE">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租赁期开始日后，当实质固定付款额发生变动、担保余值预计的应付金额发生变化、用于确定租赁付款额的指数或比率发生变动、购买选择权、续租选择权或终止选择权的评估结果或实际行权情况发生变化时，本村镇银行按照变动后的租赁付款额的现值重新计量租赁负债，并相应调整使用权资产的账面价值。使用权资产账面价值已调减至零，但租赁负债仍需进一步调减的，本村镇银行将剩余金额计入当期损益。</w:t>
      </w:r>
    </w:p>
    <w:p w14:paraId="6423E010">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（3）短期租赁和低价值资产租赁</w:t>
      </w:r>
      <w:r>
        <w:rPr>
          <w:rFonts w:hint="eastAsia" w:ascii="宋体" w:hAnsi="宋体" w:cs="宋体"/>
          <w:color w:val="000000"/>
          <w:kern w:val="0"/>
          <w:sz w:val="24"/>
          <w:szCs w:val="24"/>
          <w:highlight w:val="none"/>
        </w:rPr>
        <w:tab/>
      </w:r>
    </w:p>
    <w:p w14:paraId="4FD6ED7E">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对于短期租赁（在租赁开始日租赁期不超过12个月的租赁）和低价值资产租赁，本村镇银行采取简化处理方法，不确认使用权资产和租赁负债，而在租赁期内各个期间按照直线法或其他系统合理的方法将租赁付款额计入相关资产成本或当期损益。</w:t>
      </w:r>
    </w:p>
    <w:p w14:paraId="2A72A129">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（4）租赁变更</w:t>
      </w:r>
    </w:p>
    <w:p w14:paraId="33507A52">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租赁发生变更且同时符合下列条件的，本村镇银行将该租赁变更作为一项单独租赁进行会计处理：</w:t>
      </w:r>
    </w:p>
    <w:p w14:paraId="08545AB3">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①该租赁变更通过增加一项或多项租赁资产的使用权而扩大了租赁范围；</w:t>
      </w:r>
    </w:p>
    <w:p w14:paraId="3E8FD7D7">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②增加的对价与租赁范围扩大部分的单独价格按该合同情况调整后的金额相当。</w:t>
      </w:r>
    </w:p>
    <w:p w14:paraId="4E0F0183">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租赁变更未作为一项单独租赁进行会计处理的，（除新冠肺炎疫情直接引发的合同变更采用简化方法外，）在租赁变更生效日，本村镇银行重新分摊变更后合同的对价，重新确定租赁期，并按照变更后租赁付款额和修订后的折现率计算的现值重新计量租赁负债。</w:t>
      </w:r>
    </w:p>
    <w:p w14:paraId="05D40F1E">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租赁变更导致租赁范围缩小或租赁期缩短的，本村镇银行相应调减使用权资产的账面价值，并将部分终止或完全终止租赁的相关利得或损失计入当期损益。其他租赁变更导致租赁负债重新计量的，本村镇银行相应调整使用权资产的账面价值。</w:t>
      </w:r>
    </w:p>
    <w:p w14:paraId="5B963A02">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2、本村镇银行作为出租人</w:t>
      </w:r>
    </w:p>
    <w:p w14:paraId="3AC750F7">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本村镇银行在租赁开始日，基于交易的实质，将租赁分为融资租赁和经营租赁。融资租赁是指实质上转移了与租赁资产所有权有关的几乎全部风险和报酬的租赁。经营租赁是指除融资租赁以外的其他租赁。本村镇银行租赁全部为经营租赁。</w:t>
      </w:r>
    </w:p>
    <w:p w14:paraId="5E984E7E">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（1）经营租赁</w:t>
      </w:r>
    </w:p>
    <w:p w14:paraId="4DC9B1AF">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本村镇银行采用直线法将经营租赁的租赁收款额确认为租赁期内各期间的租金收入。与经营租赁有关的未计入租赁收款额的可变租赁付款额，于实际发生时计入当期损益。</w:t>
      </w:r>
    </w:p>
    <w:p w14:paraId="27FCBE8B">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（2）租赁变更</w:t>
      </w:r>
    </w:p>
    <w:p w14:paraId="44B878E2">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经营租赁发生变更的，本村镇银行自变更生效日起将其作为一项新租赁进行会计处理，与变更前租赁有关的应收租赁收款额视为新租赁的收款额。     </w:t>
      </w:r>
    </w:p>
    <w:p w14:paraId="2A33B260">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以下租赁会计政策适用于2020年度：</w:t>
      </w:r>
    </w:p>
    <w:p w14:paraId="362EDA0B">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1、本村镇银行作为承租人，对于经营租赁的租金，在租赁期内各个期间按照直线法计入相关资产成本或当期损益；发生的初始直接费用，计入当期损益；或有租金在实际发生时计入当期损益。</w:t>
      </w:r>
    </w:p>
    <w:p w14:paraId="2D6D0949">
      <w:pPr>
        <w:autoSpaceDE w:val="0"/>
        <w:autoSpaceDN w:val="0"/>
        <w:spacing w:line="48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本村镇银行作为出租人，按资产的性质将用作经营租赁的资产包括在资产负债表中的相关项目内；对于经营租赁的租金，在租赁期内各个期间按照直线法确认为当期损益；发生的初始直接费用，计入当期损益；对于经营租赁资产中的固定资产，采用类似资产的折旧政策计提折旧；对于其他经营租赁资产，采用系统合理的方法进行摊销；或有租金在实际发生时计入当期损益。</w:t>
      </w:r>
    </w:p>
    <w:p w14:paraId="57CDC008">
      <w:pPr>
        <w:pStyle w:val="3"/>
        <w:keepNext w:val="0"/>
        <w:keepLines w:val="0"/>
        <w:numPr>
          <w:ilvl w:val="0"/>
          <w:numId w:val="0"/>
        </w:numPr>
        <w:spacing w:before="0" w:after="0" w:line="480" w:lineRule="exact"/>
        <w:ind w:leftChars="20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十六</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重大会计判断和估计</w:t>
      </w:r>
    </w:p>
    <w:p w14:paraId="2B329BB8">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本村镇银行在期末根据历史经验以及对未来事件的合理预期等因素对未来作出了下列主要不确定估计，并且会不断地对其进行后续评估。</w:t>
      </w:r>
    </w:p>
    <w:p w14:paraId="0EE7166A">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贷款减值损失</w:t>
      </w:r>
    </w:p>
    <w:p w14:paraId="4156BD7D">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定期判断是否有证据表明贷款发生了减值损失。如有，本村镇银行将估算减值损失的金额。减值损失金额为账面金额与预计未来现金流量的现值之间的差额。在估算减值损失的过程中，需要对是否存在客观证据表明贷款已发生减值损失作出重大判断，并要对预期未来现金流量的现值作出重大估计。</w:t>
      </w:r>
    </w:p>
    <w:p w14:paraId="15E4A032">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其他资产减值损失</w:t>
      </w:r>
    </w:p>
    <w:p w14:paraId="3680D3B3">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本村镇银行定期对除贷款及垫款外的其他资产进行减值评估，并评估其是否出现减值损失。如果发现其出现减值损失，本村镇银行将对其计提减值准备并计入当期损益。</w:t>
      </w:r>
    </w:p>
    <w:p w14:paraId="6757ADAB">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递延所得税资产</w:t>
      </w:r>
    </w:p>
    <w:p w14:paraId="74CE27F0">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村镇银行以在未来期间很可能取得足够的应纳税所得额用以抵扣暂时性差异时确认递延所得税资产，所以需要管理层判断获得未来应纳税所得额的可能性。本村镇银行持续对递延所得税的判断，如预计未来很可能获得能利用的应纳税所得额，将确认相应的递延所得税资产。在日常经营活动中很多交易的税务处理由税务局最终决定，如果这些税务事项的最终结果同以往估计的金额存在差异，则该差异将影响其认定期间的所得税和递延所得税资产。</w:t>
      </w:r>
    </w:p>
    <w:p w14:paraId="0AD088F7">
      <w:pPr>
        <w:pStyle w:val="3"/>
        <w:keepNext w:val="0"/>
        <w:keepLines w:val="0"/>
        <w:numPr>
          <w:ilvl w:val="0"/>
          <w:numId w:val="0"/>
        </w:numPr>
        <w:spacing w:before="0" w:after="0" w:line="480" w:lineRule="exact"/>
        <w:ind w:leftChars="20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十七</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主要会计政策和会计估计变更</w:t>
      </w:r>
    </w:p>
    <w:p w14:paraId="5CA4B847">
      <w:pPr>
        <w:numPr>
          <w:ilvl w:val="0"/>
          <w:numId w:val="0"/>
        </w:numPr>
        <w:autoSpaceDE w:val="0"/>
        <w:autoSpaceDN w:val="0"/>
        <w:spacing w:line="48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主要会计政策变更</w:t>
      </w:r>
    </w:p>
    <w:p w14:paraId="4A01EB32">
      <w:pPr>
        <w:numPr>
          <w:ilvl w:val="0"/>
          <w:numId w:val="0"/>
        </w:numPr>
        <w:autoSpaceDE w:val="0"/>
        <w:autoSpaceDN w:val="0"/>
        <w:spacing w:line="48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本报告期本村镇银行主要会计政策未发生变更。</w:t>
      </w:r>
    </w:p>
    <w:p w14:paraId="7B10ACFA">
      <w:pPr>
        <w:autoSpaceDE w:val="0"/>
        <w:autoSpaceDN w:val="0"/>
        <w:spacing w:line="480" w:lineRule="exact"/>
        <w:ind w:firstLine="480" w:firstLineChars="200"/>
        <w:jc w:val="left"/>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会计估计变更</w:t>
      </w:r>
    </w:p>
    <w:p w14:paraId="4A5E90E1">
      <w:pPr>
        <w:autoSpaceDE w:val="0"/>
        <w:autoSpaceDN w:val="0"/>
        <w:spacing w:line="480" w:lineRule="exact"/>
        <w:ind w:firstLine="480" w:firstLineChars="200"/>
        <w:jc w:val="left"/>
        <w:rPr>
          <w:rFonts w:ascii="宋体" w:hAnsi="宋体" w:cs="宋体"/>
          <w:sz w:val="24"/>
          <w:szCs w:val="24"/>
          <w:highlight w:val="none"/>
        </w:rPr>
      </w:pPr>
      <w:bookmarkStart w:id="0" w:name="_Hlk100496349"/>
      <w:r>
        <w:rPr>
          <w:rFonts w:hint="eastAsia" w:cs="宋体" w:asciiTheme="minorEastAsia" w:hAnsiTheme="minorEastAsia" w:eastAsiaTheme="minorEastAsia"/>
          <w:sz w:val="24"/>
          <w:szCs w:val="24"/>
          <w:highlight w:val="none"/>
        </w:rPr>
        <w:t>本报告期本村镇银行主要会计估计未发生变更</w:t>
      </w:r>
      <w:bookmarkEnd w:id="0"/>
      <w:r>
        <w:rPr>
          <w:rFonts w:hint="eastAsia" w:ascii="宋体" w:hAnsi="宋体" w:cs="宋体"/>
          <w:sz w:val="24"/>
          <w:szCs w:val="24"/>
          <w:highlight w:val="none"/>
        </w:rPr>
        <w:t>。</w:t>
      </w:r>
    </w:p>
    <w:p w14:paraId="2CEF2D75">
      <w:pPr>
        <w:pStyle w:val="20"/>
        <w:spacing w:before="0" w:after="0" w:line="480" w:lineRule="exact"/>
        <w:ind w:firstLine="551" w:firstLineChars="196"/>
        <w:jc w:val="both"/>
        <w:rPr>
          <w:rFonts w:ascii="宋体" w:hAnsi="宋体"/>
          <w:sz w:val="28"/>
          <w:szCs w:val="28"/>
          <w:highlight w:val="none"/>
        </w:rPr>
      </w:pPr>
      <w:r>
        <w:rPr>
          <w:rFonts w:hint="eastAsia" w:ascii="宋体" w:hAnsi="宋体" w:cs="宋体"/>
          <w:sz w:val="28"/>
          <w:szCs w:val="28"/>
          <w:highlight w:val="none"/>
        </w:rPr>
        <w:t>六、主要税项</w:t>
      </w:r>
    </w:p>
    <w:p w14:paraId="4D5AB420">
      <w:pPr>
        <w:tabs>
          <w:tab w:val="left" w:pos="0"/>
        </w:tabs>
        <w:spacing w:line="480" w:lineRule="exact"/>
        <w:ind w:firstLine="482" w:firstLineChars="200"/>
        <w:rPr>
          <w:rFonts w:ascii="宋体" w:hAnsi="宋体"/>
          <w:b/>
          <w:sz w:val="24"/>
          <w:szCs w:val="24"/>
          <w:highlight w:val="none"/>
        </w:rPr>
      </w:pPr>
      <w:r>
        <w:rPr>
          <w:rFonts w:hint="eastAsia" w:ascii="宋体" w:hAnsi="宋体" w:cs="宋体"/>
          <w:b/>
          <w:sz w:val="24"/>
          <w:szCs w:val="24"/>
          <w:highlight w:val="none"/>
        </w:rPr>
        <w:t>（一）主要税种及税率</w:t>
      </w:r>
    </w:p>
    <w:tbl>
      <w:tblPr>
        <w:tblStyle w:val="22"/>
        <w:tblW w:w="488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960"/>
        <w:gridCol w:w="2750"/>
        <w:gridCol w:w="2619"/>
      </w:tblGrid>
      <w:tr w14:paraId="0EF3E5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tcBorders>
              <w:top w:val="single" w:color="auto" w:sz="12" w:space="0"/>
            </w:tcBorders>
            <w:vAlign w:val="center"/>
          </w:tcPr>
          <w:p w14:paraId="4289C085">
            <w:pPr>
              <w:keepNext w:val="0"/>
              <w:keepLines w:val="0"/>
              <w:widowControl/>
              <w:suppressLineNumbers w:val="0"/>
              <w:spacing w:before="0" w:beforeAutospacing="0" w:after="0" w:afterAutospacing="0"/>
              <w:ind w:left="0" w:right="0"/>
              <w:jc w:val="center"/>
              <w:rPr>
                <w:rFonts w:hint="default" w:ascii="宋体" w:hAnsi="宋体"/>
                <w:kern w:val="0"/>
                <w:highlight w:val="none"/>
              </w:rPr>
            </w:pPr>
            <w:r>
              <w:rPr>
                <w:rFonts w:hint="eastAsia" w:ascii="宋体" w:hAnsi="宋体" w:cs="宋体"/>
                <w:kern w:val="0"/>
                <w:highlight w:val="none"/>
              </w:rPr>
              <w:t>税种</w:t>
            </w:r>
          </w:p>
        </w:tc>
        <w:tc>
          <w:tcPr>
            <w:tcW w:w="1651" w:type="pct"/>
            <w:tcBorders>
              <w:top w:val="single" w:color="auto" w:sz="12" w:space="0"/>
            </w:tcBorders>
            <w:vAlign w:val="center"/>
          </w:tcPr>
          <w:p w14:paraId="0BA64939">
            <w:pPr>
              <w:keepNext w:val="0"/>
              <w:keepLines w:val="0"/>
              <w:widowControl/>
              <w:suppressLineNumbers w:val="0"/>
              <w:spacing w:before="0" w:beforeAutospacing="0" w:after="0" w:afterAutospacing="0"/>
              <w:ind w:left="0" w:right="0"/>
              <w:jc w:val="center"/>
              <w:rPr>
                <w:rFonts w:hint="default" w:ascii="宋体" w:hAnsi="宋体"/>
                <w:kern w:val="0"/>
                <w:highlight w:val="none"/>
              </w:rPr>
            </w:pPr>
            <w:r>
              <w:rPr>
                <w:rFonts w:hint="eastAsia" w:ascii="宋体" w:hAnsi="宋体" w:cs="宋体"/>
                <w:kern w:val="0"/>
                <w:highlight w:val="none"/>
              </w:rPr>
              <w:t>计税依据</w:t>
            </w:r>
          </w:p>
        </w:tc>
        <w:tc>
          <w:tcPr>
            <w:tcW w:w="1572" w:type="pct"/>
            <w:tcBorders>
              <w:top w:val="single" w:color="auto" w:sz="12" w:space="0"/>
            </w:tcBorders>
            <w:vAlign w:val="center"/>
          </w:tcPr>
          <w:p w14:paraId="40D7E63C">
            <w:pPr>
              <w:keepNext w:val="0"/>
              <w:keepLines w:val="0"/>
              <w:widowControl/>
              <w:suppressLineNumbers w:val="0"/>
              <w:spacing w:before="0" w:beforeAutospacing="0" w:after="0" w:afterAutospacing="0"/>
              <w:ind w:left="0" w:right="0"/>
              <w:jc w:val="center"/>
              <w:rPr>
                <w:rFonts w:hint="default" w:ascii="宋体" w:hAnsi="宋体"/>
                <w:kern w:val="0"/>
                <w:highlight w:val="none"/>
              </w:rPr>
            </w:pPr>
            <w:r>
              <w:rPr>
                <w:rFonts w:hint="eastAsia" w:ascii="宋体" w:hAnsi="宋体" w:cs="宋体"/>
                <w:kern w:val="0"/>
                <w:highlight w:val="none"/>
              </w:rPr>
              <w:t>税率</w:t>
            </w:r>
          </w:p>
        </w:tc>
      </w:tr>
      <w:tr w14:paraId="56D045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vAlign w:val="center"/>
          </w:tcPr>
          <w:p w14:paraId="54B3FD61">
            <w:pPr>
              <w:keepNext w:val="0"/>
              <w:keepLines w:val="0"/>
              <w:widowControl/>
              <w:suppressLineNumbers w:val="0"/>
              <w:spacing w:before="0" w:beforeAutospacing="0" w:after="0" w:afterAutospacing="0"/>
              <w:ind w:left="0" w:right="0"/>
              <w:jc w:val="left"/>
              <w:rPr>
                <w:rFonts w:hint="default" w:ascii="宋体" w:hAnsi="宋体" w:cs="宋体"/>
                <w:kern w:val="0"/>
                <w:highlight w:val="none"/>
              </w:rPr>
            </w:pPr>
            <w:r>
              <w:rPr>
                <w:rFonts w:hint="eastAsia" w:ascii="宋体" w:hAnsi="宋体" w:cs="宋体"/>
                <w:kern w:val="0"/>
                <w:highlight w:val="none"/>
              </w:rPr>
              <w:t>增值税</w:t>
            </w:r>
          </w:p>
        </w:tc>
        <w:tc>
          <w:tcPr>
            <w:tcW w:w="1651" w:type="pct"/>
            <w:vAlign w:val="center"/>
          </w:tcPr>
          <w:p w14:paraId="76114F48">
            <w:pPr>
              <w:keepNext w:val="0"/>
              <w:keepLines w:val="0"/>
              <w:widowControl/>
              <w:suppressLineNumbers w:val="0"/>
              <w:spacing w:before="0" w:beforeAutospacing="0" w:after="0" w:afterAutospacing="0"/>
              <w:ind w:left="0" w:right="0"/>
              <w:rPr>
                <w:rFonts w:hint="default" w:ascii="宋体" w:hAnsi="宋体" w:cs="宋体"/>
                <w:kern w:val="0"/>
                <w:highlight w:val="none"/>
              </w:rPr>
            </w:pPr>
            <w:r>
              <w:rPr>
                <w:rFonts w:hint="eastAsia" w:ascii="宋体" w:hAnsi="宋体" w:cs="宋体"/>
                <w:kern w:val="0"/>
                <w:highlight w:val="none"/>
              </w:rPr>
              <w:t>应税收入</w:t>
            </w:r>
          </w:p>
        </w:tc>
        <w:tc>
          <w:tcPr>
            <w:tcW w:w="1572" w:type="pct"/>
            <w:vAlign w:val="center"/>
          </w:tcPr>
          <w:p w14:paraId="1DEF9B0E">
            <w:pPr>
              <w:keepNext w:val="0"/>
              <w:keepLines w:val="0"/>
              <w:widowControl/>
              <w:suppressLineNumbers w:val="0"/>
              <w:spacing w:before="0" w:beforeAutospacing="0" w:after="0" w:afterAutospacing="0"/>
              <w:ind w:left="0" w:right="0"/>
              <w:jc w:val="center"/>
              <w:rPr>
                <w:rFonts w:hint="default" w:ascii="宋体" w:hAnsi="宋体" w:cs="宋体"/>
                <w:kern w:val="0"/>
                <w:highlight w:val="none"/>
              </w:rPr>
            </w:pPr>
            <w:r>
              <w:rPr>
                <w:rFonts w:hint="default" w:ascii="宋体" w:hAnsi="宋体" w:cs="宋体"/>
                <w:kern w:val="0"/>
                <w:highlight w:val="none"/>
              </w:rPr>
              <w:t>3%</w:t>
            </w:r>
          </w:p>
        </w:tc>
      </w:tr>
      <w:tr w14:paraId="48CB58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vAlign w:val="center"/>
          </w:tcPr>
          <w:p w14:paraId="38A74302">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城市维护建设税</w:t>
            </w:r>
          </w:p>
        </w:tc>
        <w:tc>
          <w:tcPr>
            <w:tcW w:w="1651" w:type="pct"/>
            <w:vAlign w:val="center"/>
          </w:tcPr>
          <w:p w14:paraId="106808F6">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应缴纳的流转税</w:t>
            </w:r>
          </w:p>
        </w:tc>
        <w:tc>
          <w:tcPr>
            <w:tcW w:w="1572" w:type="pct"/>
            <w:vAlign w:val="center"/>
          </w:tcPr>
          <w:p w14:paraId="3C5163C7">
            <w:pPr>
              <w:keepNext w:val="0"/>
              <w:keepLines w:val="0"/>
              <w:widowControl/>
              <w:suppressLineNumbers w:val="0"/>
              <w:spacing w:before="0" w:beforeAutospacing="0" w:after="0" w:afterAutospacing="0"/>
              <w:ind w:left="0" w:right="0"/>
              <w:jc w:val="center"/>
              <w:rPr>
                <w:rFonts w:hint="default" w:ascii="宋体" w:hAnsi="宋体" w:cs="宋体"/>
                <w:kern w:val="0"/>
                <w:highlight w:val="none"/>
              </w:rPr>
            </w:pPr>
            <w:r>
              <w:rPr>
                <w:rFonts w:hint="eastAsia" w:ascii="宋体" w:hAnsi="宋体" w:cs="宋体"/>
                <w:kern w:val="0"/>
                <w:highlight w:val="none"/>
              </w:rPr>
              <w:t>7</w:t>
            </w:r>
            <w:r>
              <w:rPr>
                <w:rFonts w:hint="default" w:ascii="宋体" w:hAnsi="宋体" w:cs="宋体"/>
                <w:kern w:val="0"/>
                <w:highlight w:val="none"/>
              </w:rPr>
              <w:t>%</w:t>
            </w:r>
          </w:p>
        </w:tc>
      </w:tr>
      <w:tr w14:paraId="77AE42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vAlign w:val="center"/>
          </w:tcPr>
          <w:p w14:paraId="05B028D3">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教育费附加</w:t>
            </w:r>
          </w:p>
        </w:tc>
        <w:tc>
          <w:tcPr>
            <w:tcW w:w="1651" w:type="pct"/>
            <w:vAlign w:val="center"/>
          </w:tcPr>
          <w:p w14:paraId="592E1EA9">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应缴纳的流转税</w:t>
            </w:r>
          </w:p>
        </w:tc>
        <w:tc>
          <w:tcPr>
            <w:tcW w:w="1572" w:type="pct"/>
            <w:vAlign w:val="center"/>
          </w:tcPr>
          <w:p w14:paraId="1AAB240C">
            <w:pPr>
              <w:keepNext w:val="0"/>
              <w:keepLines w:val="0"/>
              <w:widowControl/>
              <w:suppressLineNumbers w:val="0"/>
              <w:spacing w:before="0" w:beforeAutospacing="0" w:after="0" w:afterAutospacing="0"/>
              <w:ind w:left="0" w:right="0"/>
              <w:jc w:val="center"/>
              <w:rPr>
                <w:rFonts w:hint="default" w:ascii="宋体" w:hAnsi="宋体" w:cs="宋体"/>
                <w:kern w:val="0"/>
                <w:highlight w:val="none"/>
              </w:rPr>
            </w:pPr>
            <w:r>
              <w:rPr>
                <w:rFonts w:hint="default" w:ascii="宋体" w:hAnsi="宋体" w:cs="宋体"/>
                <w:kern w:val="0"/>
                <w:highlight w:val="none"/>
              </w:rPr>
              <w:t>3%</w:t>
            </w:r>
          </w:p>
        </w:tc>
      </w:tr>
      <w:tr w14:paraId="240015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vAlign w:val="center"/>
          </w:tcPr>
          <w:p w14:paraId="25E7D229">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地方教育费附加</w:t>
            </w:r>
          </w:p>
        </w:tc>
        <w:tc>
          <w:tcPr>
            <w:tcW w:w="1651" w:type="pct"/>
            <w:vAlign w:val="center"/>
          </w:tcPr>
          <w:p w14:paraId="1CB25BCC">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应缴纳的流转税</w:t>
            </w:r>
          </w:p>
        </w:tc>
        <w:tc>
          <w:tcPr>
            <w:tcW w:w="1572" w:type="pct"/>
            <w:vAlign w:val="center"/>
          </w:tcPr>
          <w:p w14:paraId="6C75BBAE">
            <w:pPr>
              <w:keepNext w:val="0"/>
              <w:keepLines w:val="0"/>
              <w:widowControl/>
              <w:suppressLineNumbers w:val="0"/>
              <w:spacing w:before="0" w:beforeAutospacing="0" w:after="0" w:afterAutospacing="0"/>
              <w:ind w:left="0" w:right="0"/>
              <w:jc w:val="center"/>
              <w:rPr>
                <w:rFonts w:hint="default" w:ascii="宋体" w:hAnsi="宋体" w:cs="宋体"/>
                <w:kern w:val="0"/>
                <w:highlight w:val="none"/>
              </w:rPr>
            </w:pPr>
            <w:r>
              <w:rPr>
                <w:rFonts w:hint="default" w:ascii="宋体" w:hAnsi="宋体" w:cs="宋体"/>
                <w:kern w:val="0"/>
                <w:highlight w:val="none"/>
              </w:rPr>
              <w:t>2%</w:t>
            </w:r>
          </w:p>
        </w:tc>
      </w:tr>
      <w:tr w14:paraId="124894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9" w:hRule="atLeast"/>
          <w:jc w:val="center"/>
        </w:trPr>
        <w:tc>
          <w:tcPr>
            <w:tcW w:w="1777" w:type="pct"/>
            <w:tcBorders>
              <w:bottom w:val="single" w:color="auto" w:sz="12" w:space="0"/>
            </w:tcBorders>
            <w:vAlign w:val="center"/>
          </w:tcPr>
          <w:p w14:paraId="68CDC590">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企业所得税</w:t>
            </w:r>
          </w:p>
        </w:tc>
        <w:tc>
          <w:tcPr>
            <w:tcW w:w="1651" w:type="pct"/>
            <w:tcBorders>
              <w:bottom w:val="single" w:color="auto" w:sz="12" w:space="0"/>
            </w:tcBorders>
            <w:vAlign w:val="center"/>
          </w:tcPr>
          <w:p w14:paraId="311F6AD1">
            <w:pPr>
              <w:keepNext w:val="0"/>
              <w:keepLines w:val="0"/>
              <w:widowControl/>
              <w:suppressLineNumbers w:val="0"/>
              <w:spacing w:before="0" w:beforeAutospacing="0" w:after="0" w:afterAutospacing="0"/>
              <w:ind w:left="0" w:right="0"/>
              <w:rPr>
                <w:rFonts w:hint="default" w:ascii="宋体" w:hAnsi="宋体"/>
                <w:kern w:val="0"/>
                <w:highlight w:val="none"/>
              </w:rPr>
            </w:pPr>
            <w:r>
              <w:rPr>
                <w:rFonts w:hint="eastAsia" w:ascii="宋体" w:hAnsi="宋体" w:cs="宋体"/>
                <w:kern w:val="0"/>
                <w:highlight w:val="none"/>
              </w:rPr>
              <w:t>应纳税所得额</w:t>
            </w:r>
          </w:p>
        </w:tc>
        <w:tc>
          <w:tcPr>
            <w:tcW w:w="1572" w:type="pct"/>
            <w:tcBorders>
              <w:bottom w:val="single" w:color="auto" w:sz="12" w:space="0"/>
            </w:tcBorders>
            <w:vAlign w:val="center"/>
          </w:tcPr>
          <w:p w14:paraId="0385040D">
            <w:pPr>
              <w:keepNext w:val="0"/>
              <w:keepLines w:val="0"/>
              <w:widowControl/>
              <w:suppressLineNumbers w:val="0"/>
              <w:spacing w:before="0" w:beforeAutospacing="0" w:after="0" w:afterAutospacing="0"/>
              <w:ind w:left="0" w:right="0"/>
              <w:jc w:val="center"/>
              <w:rPr>
                <w:rFonts w:hint="default" w:ascii="宋体" w:hAnsi="宋体" w:cs="宋体"/>
                <w:kern w:val="0"/>
                <w:highlight w:val="none"/>
              </w:rPr>
            </w:pPr>
            <w:r>
              <w:rPr>
                <w:rFonts w:hint="default" w:ascii="宋体" w:hAnsi="宋体" w:cs="宋体"/>
                <w:kern w:val="0"/>
                <w:highlight w:val="none"/>
              </w:rPr>
              <w:t>25%</w:t>
            </w:r>
          </w:p>
        </w:tc>
      </w:tr>
    </w:tbl>
    <w:p w14:paraId="57D3F0C5">
      <w:pPr>
        <w:tabs>
          <w:tab w:val="left" w:pos="0"/>
        </w:tabs>
        <w:spacing w:line="480" w:lineRule="exact"/>
        <w:ind w:firstLine="482" w:firstLineChars="200"/>
        <w:rPr>
          <w:rFonts w:ascii="宋体" w:hAnsi="宋体"/>
          <w:sz w:val="24"/>
          <w:szCs w:val="24"/>
          <w:highlight w:val="none"/>
        </w:rPr>
      </w:pPr>
      <w:r>
        <w:rPr>
          <w:rFonts w:hint="eastAsia" w:ascii="宋体" w:hAnsi="宋体" w:cs="宋体"/>
          <w:b/>
          <w:sz w:val="24"/>
          <w:szCs w:val="24"/>
          <w:highlight w:val="none"/>
        </w:rPr>
        <w:t>（二）优惠政策：</w:t>
      </w:r>
    </w:p>
    <w:p w14:paraId="31A46574">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本村镇银行为增值税一般纳税人，根据《财政部国家税务总局关于进一步明确全面推开营改增试点金融业有关政策的通知》财税〔2016〕46号，适用简易计税方法按照3%的征收率计算缴纳增值税。</w:t>
      </w:r>
    </w:p>
    <w:p w14:paraId="0EC9CBE1">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cs="宋体" w:asciiTheme="minorEastAsia" w:hAnsiTheme="minorEastAsia" w:eastAsiaTheme="minorEastAsia"/>
          <w:sz w:val="24"/>
          <w:szCs w:val="24"/>
          <w:highlight w:val="none"/>
        </w:rPr>
        <w:t>根据财政部、国家税务总局财税〔2018〕91号《关于金融机构小微企业贷款利息收入免征增值税政策的通知》，自2018年9月1日至2020年12月31日，对金融机构向小型企业、微型企业和个体工商户发放小额贷款取得的利息收入，免征增值税。根据财政部、国家税务总局财税〔2017〕44号《关于延续支持农村金融发展有关税收政策的通知》，自2017年1月1日至2019年12月31日，对金融机构农户小额贷款的利息收入，在计算应纳税所得额时，按90%计入收入总额。根据财政部 税务总局公告2020年第22号《关于延续实施普惠金融有关税收优惠政策的公告》，对上述规定于2019年12月31日执行到期的税收优惠政策，实施期限延长至202</w:t>
      </w:r>
      <w:r>
        <w:rPr>
          <w:rFonts w:hint="eastAsia" w:cs="宋体" w:asciiTheme="minorEastAsia" w:hAnsiTheme="minorEastAsia" w:eastAsiaTheme="minorEastAsia"/>
          <w:sz w:val="24"/>
          <w:szCs w:val="24"/>
          <w:highlight w:val="none"/>
          <w:lang w:val="en-US" w:eastAsia="zh-CN"/>
        </w:rPr>
        <w:t>7</w:t>
      </w:r>
      <w:r>
        <w:rPr>
          <w:rFonts w:hint="eastAsia" w:cs="宋体" w:asciiTheme="minorEastAsia" w:hAnsiTheme="minorEastAsia" w:eastAsiaTheme="minorEastAsia"/>
          <w:sz w:val="24"/>
          <w:szCs w:val="24"/>
          <w:highlight w:val="none"/>
        </w:rPr>
        <w:t>年12月31日</w:t>
      </w:r>
      <w:r>
        <w:rPr>
          <w:rFonts w:hint="eastAsia" w:ascii="宋体" w:hAnsi="宋体" w:cs="宋体"/>
          <w:sz w:val="24"/>
          <w:szCs w:val="24"/>
          <w:highlight w:val="none"/>
        </w:rPr>
        <w:t>。</w:t>
      </w:r>
    </w:p>
    <w:p w14:paraId="7B9C9AC8">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ascii="宋体" w:hAnsi="宋体"/>
          <w:sz w:val="24"/>
          <w:szCs w:val="24"/>
          <w:highlight w:val="none"/>
        </w:rPr>
        <w:t>根据财政部国家税务总局财税〔20</w:t>
      </w:r>
      <w:r>
        <w:rPr>
          <w:rFonts w:hint="eastAsia" w:ascii="宋体" w:hAnsi="宋体"/>
          <w:sz w:val="24"/>
          <w:szCs w:val="24"/>
          <w:highlight w:val="none"/>
          <w:lang w:val="en-US" w:eastAsia="zh-CN"/>
        </w:rPr>
        <w:t>23</w:t>
      </w:r>
      <w:r>
        <w:rPr>
          <w:rFonts w:ascii="宋体" w:hAnsi="宋体"/>
          <w:sz w:val="24"/>
          <w:szCs w:val="24"/>
          <w:highlight w:val="none"/>
        </w:rPr>
        <w:t>〕</w:t>
      </w:r>
      <w:r>
        <w:rPr>
          <w:rFonts w:hint="eastAsia" w:ascii="宋体" w:hAnsi="宋体"/>
          <w:sz w:val="24"/>
          <w:szCs w:val="24"/>
          <w:highlight w:val="none"/>
          <w:lang w:val="en-US" w:eastAsia="zh-CN"/>
        </w:rPr>
        <w:t>13</w:t>
      </w:r>
      <w:r>
        <w:rPr>
          <w:rFonts w:ascii="宋体" w:hAnsi="宋体"/>
          <w:sz w:val="24"/>
          <w:szCs w:val="24"/>
          <w:highlight w:val="none"/>
        </w:rPr>
        <w:t>号《财政部 税务总局关于支持小微企业融资有关税收政策的通知》文件规定，对金融机构与小型企业、微型企业签订的借款合同免征印花税。</w:t>
      </w:r>
      <w:bookmarkStart w:id="1" w:name="_Hlk100498731"/>
      <w:r>
        <w:rPr>
          <w:rFonts w:hint="eastAsia" w:ascii="宋体" w:hAnsi="宋体"/>
          <w:sz w:val="24"/>
          <w:szCs w:val="24"/>
          <w:highlight w:val="none"/>
          <w:lang w:val="en-US" w:eastAsia="zh-CN"/>
        </w:rPr>
        <w:t>执行期截止到</w:t>
      </w:r>
      <w:r>
        <w:rPr>
          <w:rFonts w:hint="eastAsia" w:ascii="宋体" w:hAnsi="宋体"/>
          <w:sz w:val="24"/>
          <w:szCs w:val="24"/>
          <w:highlight w:val="none"/>
        </w:rPr>
        <w:t>202</w:t>
      </w:r>
      <w:r>
        <w:rPr>
          <w:rFonts w:hint="eastAsia" w:ascii="宋体" w:hAnsi="宋体"/>
          <w:sz w:val="24"/>
          <w:szCs w:val="24"/>
          <w:highlight w:val="none"/>
          <w:lang w:val="en-US" w:eastAsia="zh-CN"/>
        </w:rPr>
        <w:t>7</w:t>
      </w:r>
      <w:r>
        <w:rPr>
          <w:rFonts w:hint="eastAsia" w:ascii="宋体" w:hAnsi="宋体"/>
          <w:sz w:val="24"/>
          <w:szCs w:val="24"/>
          <w:highlight w:val="none"/>
        </w:rPr>
        <w:t>年12月31日</w:t>
      </w:r>
      <w:bookmarkEnd w:id="1"/>
      <w:r>
        <w:rPr>
          <w:rFonts w:hint="eastAsia" w:ascii="宋体" w:hAnsi="宋体" w:cs="宋体"/>
          <w:sz w:val="24"/>
          <w:szCs w:val="24"/>
          <w:highlight w:val="none"/>
        </w:rPr>
        <w:t>。</w:t>
      </w:r>
    </w:p>
    <w:p w14:paraId="367DDEF1">
      <w:pPr>
        <w:pStyle w:val="20"/>
        <w:spacing w:before="0" w:after="0" w:line="480" w:lineRule="exact"/>
        <w:ind w:firstLine="562" w:firstLineChars="200"/>
        <w:jc w:val="both"/>
        <w:rPr>
          <w:rFonts w:ascii="宋体" w:hAnsi="宋体" w:cs="宋体"/>
          <w:sz w:val="28"/>
          <w:szCs w:val="28"/>
          <w:highlight w:val="none"/>
        </w:rPr>
      </w:pPr>
      <w:r>
        <w:rPr>
          <w:rFonts w:hint="eastAsia" w:ascii="宋体" w:hAnsi="宋体" w:cs="宋体"/>
          <w:sz w:val="28"/>
          <w:szCs w:val="28"/>
          <w:highlight w:val="none"/>
        </w:rPr>
        <w:t>七、财务报表主要项目注释</w:t>
      </w:r>
    </w:p>
    <w:p w14:paraId="053DC294">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以下附注未经特别注明，金额单位为人民币元；</w:t>
      </w:r>
      <w:bookmarkStart w:id="2" w:name="_Hlk100496861"/>
      <w:r>
        <w:rPr>
          <w:rFonts w:hint="eastAsia" w:ascii="宋体" w:hAnsi="宋体" w:cs="宋体"/>
          <w:sz w:val="24"/>
          <w:szCs w:val="24"/>
          <w:highlight w:val="none"/>
        </w:rPr>
        <w:t>上年年末</w:t>
      </w:r>
      <w:bookmarkEnd w:id="2"/>
      <w:r>
        <w:rPr>
          <w:rFonts w:hint="eastAsia" w:ascii="宋体" w:hAnsi="宋体" w:cs="宋体"/>
          <w:sz w:val="24"/>
          <w:szCs w:val="24"/>
          <w:highlight w:val="none"/>
        </w:rPr>
        <w:t>指202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w:t>
      </w:r>
      <w:r>
        <w:rPr>
          <w:rFonts w:ascii="宋体" w:hAnsi="宋体" w:cs="宋体"/>
          <w:sz w:val="24"/>
          <w:szCs w:val="24"/>
          <w:highlight w:val="none"/>
        </w:rPr>
        <w:t>2</w:t>
      </w:r>
      <w:r>
        <w:rPr>
          <w:rFonts w:hint="eastAsia" w:ascii="宋体" w:hAnsi="宋体" w:cs="宋体"/>
          <w:sz w:val="24"/>
          <w:szCs w:val="24"/>
          <w:highlight w:val="none"/>
        </w:rPr>
        <w:t>月31日，期末指202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年12月31日，本期指202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年度，上期指202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w:t>
      </w:r>
    </w:p>
    <w:p w14:paraId="5D5B7D3C">
      <w:pPr>
        <w:pStyle w:val="3"/>
        <w:keepNext w:val="0"/>
        <w:keepLines w:val="0"/>
        <w:numPr>
          <w:ilvl w:val="0"/>
          <w:numId w:val="0"/>
        </w:numPr>
        <w:tabs>
          <w:tab w:val="left" w:pos="851"/>
        </w:tabs>
        <w:spacing w:before="0" w:after="0" w:line="480" w:lineRule="exact"/>
        <w:ind w:leftChars="0"/>
        <w:rPr>
          <w:rFonts w:ascii="宋体" w:hAnsi="宋体" w:eastAsia="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一</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现金及存放中央银行款项</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17"/>
        <w:gridCol w:w="2744"/>
        <w:gridCol w:w="2461"/>
      </w:tblGrid>
      <w:tr w14:paraId="14DF7F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23620429">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18"/>
                <w:szCs w:val="18"/>
                <w:highlight w:val="none"/>
                <w:u w:val="none"/>
                <w:lang w:val="en-US" w:eastAsia="zh-CN" w:bidi="ar"/>
              </w:rPr>
              <w:t>项目</w:t>
            </w:r>
          </w:p>
        </w:tc>
        <w:tc>
          <w:tcPr>
            <w:tcW w:w="2744" w:type="dxa"/>
            <w:vAlign w:val="center"/>
          </w:tcPr>
          <w:p w14:paraId="6BA80CD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18"/>
                <w:szCs w:val="18"/>
                <w:highlight w:val="none"/>
                <w:u w:val="none"/>
                <w:lang w:val="en-US" w:eastAsia="zh-CN" w:bidi="ar"/>
              </w:rPr>
              <w:t>期末余额</w:t>
            </w:r>
          </w:p>
        </w:tc>
        <w:tc>
          <w:tcPr>
            <w:tcW w:w="2461" w:type="dxa"/>
            <w:vAlign w:val="center"/>
          </w:tcPr>
          <w:p w14:paraId="50E8D23E">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cs="宋体"/>
                <w:i w:val="0"/>
                <w:iCs w:val="0"/>
                <w:color w:val="000000"/>
                <w:kern w:val="0"/>
                <w:sz w:val="18"/>
                <w:szCs w:val="18"/>
                <w:highlight w:val="none"/>
                <w:u w:val="none"/>
                <w:lang w:val="en-US" w:eastAsia="zh-CN" w:bidi="ar"/>
              </w:rPr>
              <w:t>上年年末余额</w:t>
            </w:r>
          </w:p>
        </w:tc>
      </w:tr>
      <w:tr w14:paraId="212B01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5E69D11D">
            <w:pPr>
              <w:keepNext w:val="0"/>
              <w:keepLines w:val="0"/>
              <w:widowControl/>
              <w:suppressLineNumbers w:val="0"/>
              <w:spacing w:before="0" w:beforeAutospacing="0" w:after="0" w:afterAutospacing="0"/>
              <w:ind w:left="0" w:right="0"/>
              <w:jc w:val="left"/>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现金</w:t>
            </w:r>
          </w:p>
        </w:tc>
        <w:tc>
          <w:tcPr>
            <w:tcW w:w="2744" w:type="dxa"/>
            <w:vAlign w:val="center"/>
          </w:tcPr>
          <w:p w14:paraId="7F9347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6,181,801.64</w:t>
            </w:r>
          </w:p>
        </w:tc>
        <w:tc>
          <w:tcPr>
            <w:tcW w:w="2461" w:type="dxa"/>
            <w:vAlign w:val="center"/>
          </w:tcPr>
          <w:p w14:paraId="622050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6,243,586.11</w:t>
            </w:r>
          </w:p>
        </w:tc>
      </w:tr>
      <w:tr w14:paraId="21C2C5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12F7893B">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存放中央银行法定准备金</w:t>
            </w:r>
          </w:p>
        </w:tc>
        <w:tc>
          <w:tcPr>
            <w:tcW w:w="2744" w:type="dxa"/>
            <w:vAlign w:val="center"/>
          </w:tcPr>
          <w:p w14:paraId="133B43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44,738,310.00</w:t>
            </w:r>
          </w:p>
        </w:tc>
        <w:tc>
          <w:tcPr>
            <w:tcW w:w="2461" w:type="dxa"/>
            <w:vAlign w:val="center"/>
          </w:tcPr>
          <w:p w14:paraId="0665CA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50,261,565.00</w:t>
            </w:r>
          </w:p>
        </w:tc>
      </w:tr>
      <w:tr w14:paraId="5A30AC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071B9D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bookmarkStart w:id="3" w:name="OLE_LINK2" w:colFirst="1" w:colLast="3"/>
            <w:r>
              <w:rPr>
                <w:rFonts w:hint="eastAsia" w:ascii="宋体" w:hAnsi="宋体" w:eastAsia="宋体" w:cs="宋体"/>
                <w:i w:val="0"/>
                <w:iCs w:val="0"/>
                <w:color w:val="000000"/>
                <w:kern w:val="0"/>
                <w:sz w:val="21"/>
                <w:szCs w:val="21"/>
                <w:highlight w:val="none"/>
                <w:u w:val="none"/>
                <w:lang w:val="en-US" w:eastAsia="zh-CN" w:bidi="ar"/>
              </w:rPr>
              <w:t>存放中央银行超额准备金</w:t>
            </w:r>
          </w:p>
        </w:tc>
        <w:tc>
          <w:tcPr>
            <w:tcW w:w="2744" w:type="dxa"/>
            <w:vAlign w:val="center"/>
          </w:tcPr>
          <w:p w14:paraId="6C40C5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19,815,546.66</w:t>
            </w:r>
          </w:p>
        </w:tc>
        <w:tc>
          <w:tcPr>
            <w:tcW w:w="2461" w:type="dxa"/>
            <w:vAlign w:val="center"/>
          </w:tcPr>
          <w:p w14:paraId="04D3C6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63,232,611.63</w:t>
            </w:r>
          </w:p>
        </w:tc>
      </w:tr>
      <w:tr w14:paraId="293D7D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72A0479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缴存中央银行财政性存款</w:t>
            </w:r>
          </w:p>
        </w:tc>
        <w:tc>
          <w:tcPr>
            <w:tcW w:w="2744" w:type="dxa"/>
            <w:vAlign w:val="center"/>
          </w:tcPr>
          <w:p w14:paraId="047E87EE">
            <w:pPr>
              <w:keepNext w:val="0"/>
              <w:keepLines w:val="0"/>
              <w:suppressLineNumbers w:val="0"/>
              <w:spacing w:before="0" w:beforeAutospacing="0" w:after="0" w:afterAutospacing="0"/>
              <w:ind w:left="0" w:right="0"/>
              <w:jc w:val="right"/>
              <w:rPr>
                <w:rFonts w:hint="eastAsia" w:ascii="宋体" w:hAnsi="宋体" w:eastAsia="宋体" w:cs="宋体"/>
                <w:b w:val="0"/>
                <w:bCs w:val="0"/>
                <w:kern w:val="0"/>
                <w:sz w:val="21"/>
                <w:szCs w:val="21"/>
                <w:highlight w:val="none"/>
              </w:rPr>
            </w:pPr>
          </w:p>
        </w:tc>
        <w:tc>
          <w:tcPr>
            <w:tcW w:w="2461" w:type="dxa"/>
            <w:vAlign w:val="center"/>
          </w:tcPr>
          <w:p w14:paraId="70DB6DBB">
            <w:pPr>
              <w:keepNext w:val="0"/>
              <w:keepLines w:val="0"/>
              <w:suppressLineNumbers w:val="0"/>
              <w:spacing w:before="0" w:beforeAutospacing="0" w:after="0" w:afterAutospacing="0"/>
              <w:ind w:left="0" w:right="0"/>
              <w:jc w:val="right"/>
              <w:rPr>
                <w:rFonts w:hint="eastAsia" w:ascii="宋体" w:hAnsi="宋体" w:eastAsia="宋体" w:cs="宋体"/>
                <w:b w:val="0"/>
                <w:bCs w:val="0"/>
                <w:kern w:val="0"/>
                <w:sz w:val="21"/>
                <w:szCs w:val="21"/>
                <w:highlight w:val="none"/>
              </w:rPr>
            </w:pPr>
          </w:p>
        </w:tc>
      </w:tr>
      <w:tr w14:paraId="106B9B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7111225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计提存放央行存款利息</w:t>
            </w:r>
          </w:p>
        </w:tc>
        <w:tc>
          <w:tcPr>
            <w:tcW w:w="2744" w:type="dxa"/>
            <w:vAlign w:val="center"/>
          </w:tcPr>
          <w:p w14:paraId="54D4AA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23,075.97</w:t>
            </w:r>
          </w:p>
        </w:tc>
        <w:tc>
          <w:tcPr>
            <w:tcW w:w="2461" w:type="dxa"/>
            <w:vAlign w:val="center"/>
          </w:tcPr>
          <w:p w14:paraId="3DD2E9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26,903.43</w:t>
            </w:r>
          </w:p>
        </w:tc>
      </w:tr>
      <w:bookmarkEnd w:id="3"/>
      <w:tr w14:paraId="65AAF8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7" w:type="dxa"/>
            <w:vAlign w:val="center"/>
          </w:tcPr>
          <w:p w14:paraId="371FBABF">
            <w:pPr>
              <w:keepNext w:val="0"/>
              <w:keepLines w:val="0"/>
              <w:widowControl/>
              <w:suppressLineNumbers w:val="0"/>
              <w:spacing w:before="0" w:beforeAutospacing="0" w:after="0" w:afterAutospacing="0"/>
              <w:ind w:left="0" w:right="0"/>
              <w:jc w:val="center"/>
              <w:textAlignment w:val="center"/>
              <w:rPr>
                <w:rFonts w:hint="default" w:ascii="宋体" w:hAnsi="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744" w:type="dxa"/>
            <w:vAlign w:val="center"/>
          </w:tcPr>
          <w:p w14:paraId="597A7A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70,758,734.27</w:t>
            </w:r>
          </w:p>
        </w:tc>
        <w:tc>
          <w:tcPr>
            <w:tcW w:w="2461" w:type="dxa"/>
            <w:vAlign w:val="center"/>
          </w:tcPr>
          <w:p w14:paraId="04F68F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119,764,666.17</w:t>
            </w:r>
          </w:p>
        </w:tc>
      </w:tr>
    </w:tbl>
    <w:p w14:paraId="4DD9F68A">
      <w:pPr>
        <w:tabs>
          <w:tab w:val="left" w:pos="0"/>
        </w:tabs>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存放中央银行法定准备金是本村镇银行按规定缴存中国人民银行的一般性存款准备金，不能用于日常经营活动。于</w:t>
      </w:r>
      <w:r>
        <w:rPr>
          <w:rFonts w:ascii="宋体" w:hAnsi="宋体" w:cs="宋体"/>
          <w:sz w:val="24"/>
          <w:szCs w:val="24"/>
          <w:highlight w:val="none"/>
        </w:rPr>
        <w:t>202</w:t>
      </w:r>
      <w:r>
        <w:rPr>
          <w:rFonts w:hint="eastAsia" w:ascii="宋体" w:hAnsi="宋体" w:cs="宋体"/>
          <w:sz w:val="24"/>
          <w:szCs w:val="24"/>
          <w:highlight w:val="none"/>
          <w:lang w:val="en-US" w:eastAsia="zh-CN"/>
        </w:rPr>
        <w:t>4</w:t>
      </w:r>
      <w:r>
        <w:rPr>
          <w:rFonts w:ascii="宋体" w:hAnsi="宋体" w:cs="宋体"/>
          <w:sz w:val="24"/>
          <w:szCs w:val="24"/>
          <w:highlight w:val="none"/>
        </w:rPr>
        <w:t>年12</w:t>
      </w:r>
      <w:r>
        <w:rPr>
          <w:rFonts w:hint="eastAsia" w:ascii="宋体" w:hAnsi="宋体" w:cs="宋体"/>
          <w:sz w:val="24"/>
          <w:szCs w:val="24"/>
          <w:highlight w:val="none"/>
        </w:rPr>
        <w:t>月</w:t>
      </w:r>
      <w:r>
        <w:rPr>
          <w:rFonts w:ascii="宋体" w:hAnsi="宋体" w:cs="宋体"/>
          <w:sz w:val="24"/>
          <w:szCs w:val="24"/>
          <w:highlight w:val="none"/>
        </w:rPr>
        <w:t>31</w:t>
      </w:r>
      <w:r>
        <w:rPr>
          <w:rFonts w:hint="eastAsia" w:ascii="宋体" w:hAnsi="宋体" w:cs="宋体"/>
          <w:sz w:val="24"/>
          <w:szCs w:val="24"/>
          <w:highlight w:val="none"/>
        </w:rPr>
        <w:t>日、202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年12月31日，本村镇银行人民币存款准备金缴存比率分别为</w:t>
      </w:r>
      <w:r>
        <w:rPr>
          <w:rFonts w:ascii="宋体" w:hAnsi="宋体" w:cs="宋体"/>
          <w:sz w:val="24"/>
          <w:szCs w:val="24"/>
          <w:highlight w:val="none"/>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ascii="宋体" w:hAnsi="宋体" w:cs="宋体"/>
          <w:sz w:val="24"/>
          <w:szCs w:val="24"/>
          <w:highlight w:val="none"/>
        </w:rPr>
        <w:t>%</w:t>
      </w:r>
      <w:r>
        <w:rPr>
          <w:rFonts w:hint="eastAsia" w:ascii="宋体" w:hAnsi="宋体" w:cs="宋体"/>
          <w:sz w:val="24"/>
          <w:szCs w:val="24"/>
          <w:highlight w:val="none"/>
        </w:rPr>
        <w:t>。</w:t>
      </w:r>
    </w:p>
    <w:p w14:paraId="2A5D5B7C">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存放同业款项</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14"/>
        <w:gridCol w:w="2807"/>
        <w:gridCol w:w="2501"/>
      </w:tblGrid>
      <w:tr w14:paraId="2D8372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tcBorders>
              <w:top w:val="single" w:color="auto" w:sz="12" w:space="0"/>
            </w:tcBorders>
            <w:vAlign w:val="center"/>
          </w:tcPr>
          <w:p w14:paraId="74293ED0">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807" w:type="dxa"/>
            <w:tcBorders>
              <w:top w:val="single" w:color="auto" w:sz="12" w:space="0"/>
            </w:tcBorders>
            <w:vAlign w:val="center"/>
          </w:tcPr>
          <w:p w14:paraId="6F935FCC">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501" w:type="dxa"/>
            <w:tcBorders>
              <w:top w:val="single" w:color="auto" w:sz="12" w:space="0"/>
            </w:tcBorders>
            <w:vAlign w:val="center"/>
          </w:tcPr>
          <w:p w14:paraId="0E6A8265">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164F9B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vAlign w:val="center"/>
          </w:tcPr>
          <w:p w14:paraId="3DBE7077">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存放境内同业</w:t>
            </w:r>
          </w:p>
        </w:tc>
        <w:tc>
          <w:tcPr>
            <w:tcW w:w="2807" w:type="dxa"/>
            <w:vAlign w:val="center"/>
          </w:tcPr>
          <w:p w14:paraId="4A89FACA">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73,224,263.34</w:t>
            </w:r>
          </w:p>
        </w:tc>
        <w:tc>
          <w:tcPr>
            <w:tcW w:w="2501" w:type="dxa"/>
            <w:vAlign w:val="center"/>
          </w:tcPr>
          <w:p w14:paraId="49D85591">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157,651,023.86</w:t>
            </w:r>
          </w:p>
        </w:tc>
      </w:tr>
      <w:tr w14:paraId="2112CA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vAlign w:val="center"/>
          </w:tcPr>
          <w:p w14:paraId="75ADAD3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存出保证金</w:t>
            </w:r>
          </w:p>
        </w:tc>
        <w:tc>
          <w:tcPr>
            <w:tcW w:w="2807" w:type="dxa"/>
            <w:vAlign w:val="center"/>
          </w:tcPr>
          <w:p w14:paraId="12DB05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300,000.00</w:t>
            </w:r>
          </w:p>
        </w:tc>
        <w:tc>
          <w:tcPr>
            <w:tcW w:w="2501" w:type="dxa"/>
            <w:vAlign w:val="center"/>
          </w:tcPr>
          <w:p w14:paraId="7AF2DE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300,000.00</w:t>
            </w:r>
          </w:p>
        </w:tc>
      </w:tr>
      <w:tr w14:paraId="522D7E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vAlign w:val="center"/>
          </w:tcPr>
          <w:p w14:paraId="7DBEEC9F">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存放同业存款利息</w:t>
            </w:r>
          </w:p>
        </w:tc>
        <w:tc>
          <w:tcPr>
            <w:tcW w:w="2807" w:type="dxa"/>
            <w:vAlign w:val="center"/>
          </w:tcPr>
          <w:p w14:paraId="28057A6C">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24,144.89</w:t>
            </w:r>
          </w:p>
        </w:tc>
        <w:tc>
          <w:tcPr>
            <w:tcW w:w="2501" w:type="dxa"/>
            <w:vAlign w:val="center"/>
          </w:tcPr>
          <w:p w14:paraId="6A04D0F2">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172,999.89</w:t>
            </w:r>
          </w:p>
        </w:tc>
      </w:tr>
      <w:tr w14:paraId="612BF5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vAlign w:val="center"/>
          </w:tcPr>
          <w:p w14:paraId="58FE80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存放同业减值准备</w:t>
            </w:r>
          </w:p>
        </w:tc>
        <w:tc>
          <w:tcPr>
            <w:tcW w:w="2807" w:type="dxa"/>
            <w:vAlign w:val="center"/>
          </w:tcPr>
          <w:p w14:paraId="1A57B4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5,502.60</w:t>
            </w:r>
          </w:p>
        </w:tc>
        <w:tc>
          <w:tcPr>
            <w:tcW w:w="2501" w:type="dxa"/>
            <w:vAlign w:val="center"/>
          </w:tcPr>
          <w:p w14:paraId="6E3CBE2F">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5,502.60</w:t>
            </w:r>
          </w:p>
        </w:tc>
      </w:tr>
      <w:tr w14:paraId="78CC2A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8" w:hRule="atLeast"/>
          <w:jc w:val="center"/>
        </w:trPr>
        <w:tc>
          <w:tcPr>
            <w:tcW w:w="3214" w:type="dxa"/>
            <w:tcBorders>
              <w:bottom w:val="single" w:color="auto" w:sz="12" w:space="0"/>
            </w:tcBorders>
            <w:vAlign w:val="center"/>
          </w:tcPr>
          <w:p w14:paraId="7E8348FF">
            <w:pPr>
              <w:keepNext w:val="0"/>
              <w:keepLines w:val="0"/>
              <w:widowControl/>
              <w:suppressLineNumbers w:val="0"/>
              <w:spacing w:before="0" w:beforeAutospacing="0" w:after="0" w:afterAutospacing="0"/>
              <w:ind w:left="0" w:right="0"/>
              <w:jc w:val="center"/>
              <w:textAlignment w:val="center"/>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807" w:type="dxa"/>
            <w:tcBorders>
              <w:bottom w:val="single" w:color="auto" w:sz="12" w:space="0"/>
            </w:tcBorders>
            <w:vAlign w:val="center"/>
          </w:tcPr>
          <w:p w14:paraId="690ABCD6">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73,542,905.63</w:t>
            </w:r>
          </w:p>
        </w:tc>
        <w:tc>
          <w:tcPr>
            <w:tcW w:w="2501" w:type="dxa"/>
            <w:tcBorders>
              <w:bottom w:val="single" w:color="auto" w:sz="12" w:space="0"/>
            </w:tcBorders>
            <w:vAlign w:val="center"/>
          </w:tcPr>
          <w:p w14:paraId="57950A1E">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158,118,521.15</w:t>
            </w:r>
          </w:p>
        </w:tc>
      </w:tr>
    </w:tbl>
    <w:p w14:paraId="39C240F4">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三</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发放贷款及垫款</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18"/>
        <w:gridCol w:w="2603"/>
        <w:gridCol w:w="2601"/>
      </w:tblGrid>
      <w:tr w14:paraId="2229E1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tcBorders>
              <w:top w:val="single" w:color="auto" w:sz="12" w:space="0"/>
            </w:tcBorders>
            <w:vAlign w:val="center"/>
          </w:tcPr>
          <w:p w14:paraId="1883A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03" w:type="dxa"/>
            <w:tcBorders>
              <w:top w:val="single" w:color="auto" w:sz="12" w:space="0"/>
            </w:tcBorders>
            <w:vAlign w:val="center"/>
          </w:tcPr>
          <w:p w14:paraId="29F73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01" w:type="dxa"/>
            <w:tcBorders>
              <w:top w:val="single" w:color="auto" w:sz="12" w:space="0"/>
            </w:tcBorders>
            <w:vAlign w:val="center"/>
          </w:tcPr>
          <w:p w14:paraId="6F571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0B3907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1B6AF53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公司贷款及垫款</w:t>
            </w:r>
          </w:p>
        </w:tc>
        <w:tc>
          <w:tcPr>
            <w:tcW w:w="2603" w:type="dxa"/>
            <w:vAlign w:val="center"/>
          </w:tcPr>
          <w:p w14:paraId="7B8B2C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8,720,000.00</w:t>
            </w:r>
          </w:p>
        </w:tc>
        <w:tc>
          <w:tcPr>
            <w:tcW w:w="2601" w:type="dxa"/>
            <w:vAlign w:val="center"/>
          </w:tcPr>
          <w:p w14:paraId="399322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8,430,000.00</w:t>
            </w:r>
          </w:p>
        </w:tc>
      </w:tr>
      <w:tr w14:paraId="095ECB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5C391C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个人贷款</w:t>
            </w:r>
          </w:p>
        </w:tc>
        <w:tc>
          <w:tcPr>
            <w:tcW w:w="2603" w:type="dxa"/>
            <w:vAlign w:val="center"/>
          </w:tcPr>
          <w:p w14:paraId="2BAB31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993,319,808.34</w:t>
            </w:r>
          </w:p>
        </w:tc>
        <w:tc>
          <w:tcPr>
            <w:tcW w:w="2601" w:type="dxa"/>
            <w:vAlign w:val="center"/>
          </w:tcPr>
          <w:p w14:paraId="48DB3F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941,207,549.23</w:t>
            </w:r>
          </w:p>
        </w:tc>
      </w:tr>
      <w:tr w14:paraId="04CE11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752BD9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贷款和垫款总额</w:t>
            </w:r>
          </w:p>
        </w:tc>
        <w:tc>
          <w:tcPr>
            <w:tcW w:w="2603" w:type="dxa"/>
            <w:vAlign w:val="center"/>
          </w:tcPr>
          <w:p w14:paraId="5B1511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1,002,039,808.34</w:t>
            </w:r>
          </w:p>
        </w:tc>
        <w:tc>
          <w:tcPr>
            <w:tcW w:w="2601" w:type="dxa"/>
            <w:vAlign w:val="center"/>
          </w:tcPr>
          <w:p w14:paraId="5AACB8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949,637,549.23</w:t>
            </w:r>
          </w:p>
        </w:tc>
      </w:tr>
      <w:tr w14:paraId="289328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5EE81A5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加:贷款利息</w:t>
            </w:r>
          </w:p>
        </w:tc>
        <w:tc>
          <w:tcPr>
            <w:tcW w:w="2603" w:type="dxa"/>
            <w:vAlign w:val="center"/>
          </w:tcPr>
          <w:p w14:paraId="0144C7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4,053,077.61</w:t>
            </w:r>
          </w:p>
        </w:tc>
        <w:tc>
          <w:tcPr>
            <w:tcW w:w="2601" w:type="dxa"/>
            <w:vAlign w:val="center"/>
          </w:tcPr>
          <w:p w14:paraId="3436C6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3,239,658.38</w:t>
            </w:r>
          </w:p>
        </w:tc>
      </w:tr>
      <w:tr w14:paraId="75EE3C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5F4CD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减：贷款损失准备</w:t>
            </w:r>
          </w:p>
        </w:tc>
        <w:tc>
          <w:tcPr>
            <w:tcW w:w="2603" w:type="dxa"/>
            <w:vAlign w:val="center"/>
          </w:tcPr>
          <w:p w14:paraId="46F1EC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48,489,176.80</w:t>
            </w:r>
          </w:p>
        </w:tc>
        <w:tc>
          <w:tcPr>
            <w:tcW w:w="2601" w:type="dxa"/>
            <w:vAlign w:val="center"/>
          </w:tcPr>
          <w:p w14:paraId="2D1CCB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24,010,106.16</w:t>
            </w:r>
          </w:p>
        </w:tc>
      </w:tr>
      <w:tr w14:paraId="5E7CD0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tcBorders>
              <w:bottom w:val="single" w:color="auto" w:sz="12" w:space="0"/>
            </w:tcBorders>
            <w:vAlign w:val="center"/>
          </w:tcPr>
          <w:p w14:paraId="3259C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贷款和垫款净值</w:t>
            </w:r>
          </w:p>
        </w:tc>
        <w:tc>
          <w:tcPr>
            <w:tcW w:w="2603" w:type="dxa"/>
            <w:tcBorders>
              <w:bottom w:val="single" w:color="auto" w:sz="12" w:space="0"/>
            </w:tcBorders>
            <w:vAlign w:val="center"/>
          </w:tcPr>
          <w:p w14:paraId="3BEAD5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957,603,709.15</w:t>
            </w:r>
          </w:p>
        </w:tc>
        <w:tc>
          <w:tcPr>
            <w:tcW w:w="2601" w:type="dxa"/>
            <w:tcBorders>
              <w:bottom w:val="single" w:color="auto" w:sz="12" w:space="0"/>
            </w:tcBorders>
            <w:vAlign w:val="center"/>
          </w:tcPr>
          <w:p w14:paraId="2578D4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928,867,101.45</w:t>
            </w:r>
          </w:p>
        </w:tc>
      </w:tr>
    </w:tbl>
    <w:p w14:paraId="31CDDF4E">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贷款和垫款总额（不含贴现）按担保方式分类</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18"/>
        <w:gridCol w:w="2603"/>
        <w:gridCol w:w="2601"/>
      </w:tblGrid>
      <w:tr w14:paraId="3B5EEA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tcBorders>
              <w:top w:val="single" w:color="auto" w:sz="12" w:space="0"/>
            </w:tcBorders>
            <w:vAlign w:val="center"/>
          </w:tcPr>
          <w:p w14:paraId="7E1E1831">
            <w:pPr>
              <w:keepNext w:val="0"/>
              <w:keepLines w:val="0"/>
              <w:widowControl/>
              <w:suppressLineNumbers w:val="0"/>
              <w:spacing w:before="0" w:beforeAutospacing="0" w:after="0" w:afterAutospacing="0"/>
              <w:ind w:left="0" w:right="0"/>
              <w:jc w:val="center"/>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03" w:type="dxa"/>
            <w:tcBorders>
              <w:top w:val="single" w:color="auto" w:sz="12" w:space="0"/>
            </w:tcBorders>
            <w:vAlign w:val="center"/>
          </w:tcPr>
          <w:p w14:paraId="3FFE83C9">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01" w:type="dxa"/>
            <w:tcBorders>
              <w:top w:val="single" w:color="auto" w:sz="12" w:space="0"/>
            </w:tcBorders>
            <w:vAlign w:val="center"/>
          </w:tcPr>
          <w:p w14:paraId="520925ED">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1EEB1F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vAlign w:val="center"/>
          </w:tcPr>
          <w:p w14:paraId="0721F4DC">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信用贷款</w:t>
            </w:r>
          </w:p>
        </w:tc>
        <w:tc>
          <w:tcPr>
            <w:tcW w:w="2603" w:type="dxa"/>
            <w:vAlign w:val="center"/>
          </w:tcPr>
          <w:p w14:paraId="5E6AA469">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402,806,346.29</w:t>
            </w:r>
          </w:p>
        </w:tc>
        <w:tc>
          <w:tcPr>
            <w:tcW w:w="2601" w:type="dxa"/>
            <w:vAlign w:val="center"/>
          </w:tcPr>
          <w:p w14:paraId="1BD63DF2">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365,033,301.65</w:t>
            </w:r>
          </w:p>
        </w:tc>
      </w:tr>
      <w:tr w14:paraId="35375F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vAlign w:val="center"/>
          </w:tcPr>
          <w:p w14:paraId="069F5DAB">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保证贷款</w:t>
            </w:r>
          </w:p>
        </w:tc>
        <w:tc>
          <w:tcPr>
            <w:tcW w:w="2603" w:type="dxa"/>
            <w:vAlign w:val="center"/>
          </w:tcPr>
          <w:p w14:paraId="5C3EE70B">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257,131,846.51</w:t>
            </w:r>
          </w:p>
        </w:tc>
        <w:tc>
          <w:tcPr>
            <w:tcW w:w="2601" w:type="dxa"/>
            <w:vAlign w:val="center"/>
          </w:tcPr>
          <w:p w14:paraId="5C5261E7">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158,489,830.30</w:t>
            </w:r>
          </w:p>
        </w:tc>
      </w:tr>
      <w:tr w14:paraId="78FCCB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vAlign w:val="center"/>
          </w:tcPr>
          <w:p w14:paraId="00928A4B">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抵(质)押贷款</w:t>
            </w:r>
          </w:p>
        </w:tc>
        <w:tc>
          <w:tcPr>
            <w:tcW w:w="2603" w:type="dxa"/>
            <w:vAlign w:val="center"/>
          </w:tcPr>
          <w:p w14:paraId="5BED62B8">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342,101,615.54</w:t>
            </w:r>
          </w:p>
        </w:tc>
        <w:tc>
          <w:tcPr>
            <w:tcW w:w="2601" w:type="dxa"/>
            <w:vAlign w:val="center"/>
          </w:tcPr>
          <w:p w14:paraId="507CF4A7">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426,114,417.28</w:t>
            </w:r>
          </w:p>
        </w:tc>
      </w:tr>
      <w:tr w14:paraId="30CF82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18" w:type="dxa"/>
            <w:tcBorders>
              <w:bottom w:val="single" w:color="auto" w:sz="12" w:space="0"/>
            </w:tcBorders>
            <w:vAlign w:val="center"/>
          </w:tcPr>
          <w:p w14:paraId="2F32AAC3">
            <w:pPr>
              <w:keepNext w:val="0"/>
              <w:keepLines w:val="0"/>
              <w:widowControl/>
              <w:suppressLineNumbers w:val="0"/>
              <w:spacing w:before="0" w:beforeAutospacing="0" w:after="0" w:afterAutospacing="0"/>
              <w:ind w:left="0" w:right="0"/>
              <w:jc w:val="center"/>
              <w:textAlignment w:val="center"/>
              <w:rPr>
                <w:rFonts w:hint="default" w:ascii="宋体" w:hAnsi="宋体"/>
                <w:b/>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603" w:type="dxa"/>
            <w:tcBorders>
              <w:bottom w:val="single" w:color="auto" w:sz="12" w:space="0"/>
            </w:tcBorders>
            <w:vAlign w:val="center"/>
          </w:tcPr>
          <w:p w14:paraId="13B011C5">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1,002,039,808.34</w:t>
            </w:r>
          </w:p>
        </w:tc>
        <w:tc>
          <w:tcPr>
            <w:tcW w:w="2601" w:type="dxa"/>
            <w:tcBorders>
              <w:bottom w:val="single" w:color="auto" w:sz="12" w:space="0"/>
            </w:tcBorders>
            <w:vAlign w:val="center"/>
          </w:tcPr>
          <w:p w14:paraId="7F8F3E80">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949,637,549.23</w:t>
            </w:r>
          </w:p>
        </w:tc>
      </w:tr>
    </w:tbl>
    <w:p w14:paraId="6159134E">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公司贷款和垫款余额（不含贴现）按担保方式分类</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18"/>
        <w:gridCol w:w="2603"/>
        <w:gridCol w:w="2601"/>
      </w:tblGrid>
      <w:tr w14:paraId="45EFCE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tcBorders>
              <w:top w:val="single" w:color="auto" w:sz="12" w:space="0"/>
            </w:tcBorders>
            <w:vAlign w:val="center"/>
          </w:tcPr>
          <w:p w14:paraId="07C3708C">
            <w:pPr>
              <w:keepNext w:val="0"/>
              <w:keepLines w:val="0"/>
              <w:widowControl/>
              <w:suppressLineNumbers w:val="0"/>
              <w:spacing w:before="0" w:beforeAutospacing="0" w:after="0" w:afterAutospacing="0"/>
              <w:ind w:left="0" w:right="0"/>
              <w:jc w:val="center"/>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03" w:type="dxa"/>
            <w:tcBorders>
              <w:top w:val="single" w:color="auto" w:sz="12" w:space="0"/>
            </w:tcBorders>
            <w:vAlign w:val="center"/>
          </w:tcPr>
          <w:p w14:paraId="3FDEEE5E">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01" w:type="dxa"/>
            <w:tcBorders>
              <w:top w:val="single" w:color="auto" w:sz="12" w:space="0"/>
            </w:tcBorders>
            <w:vAlign w:val="center"/>
          </w:tcPr>
          <w:p w14:paraId="3DCC77A9">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733D29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0A6A0623">
            <w:pPr>
              <w:keepNext w:val="0"/>
              <w:keepLines w:val="0"/>
              <w:widowControl/>
              <w:suppressLineNumbers w:val="0"/>
              <w:spacing w:before="0" w:beforeAutospacing="0" w:after="0" w:afterAutospacing="0"/>
              <w:ind w:left="0" w:right="0"/>
              <w:jc w:val="both"/>
              <w:textAlignment w:val="center"/>
              <w:rPr>
                <w:rFonts w:hint="default"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信用贷款</w:t>
            </w:r>
          </w:p>
        </w:tc>
        <w:tc>
          <w:tcPr>
            <w:tcW w:w="2603" w:type="dxa"/>
            <w:vAlign w:val="center"/>
          </w:tcPr>
          <w:p w14:paraId="455F20B1">
            <w:pPr>
              <w:keepNext w:val="0"/>
              <w:keepLines w:val="0"/>
              <w:suppressLineNumbers w:val="0"/>
              <w:spacing w:before="0" w:beforeAutospacing="0" w:after="0" w:afterAutospacing="0"/>
              <w:ind w:left="0" w:right="0"/>
              <w:jc w:val="right"/>
              <w:rPr>
                <w:rFonts w:hint="default" w:ascii="宋体" w:hAnsi="宋体" w:cs="宋体"/>
                <w:kern w:val="0"/>
                <w:sz w:val="21"/>
                <w:szCs w:val="21"/>
                <w:highlight w:val="none"/>
              </w:rPr>
            </w:pPr>
          </w:p>
        </w:tc>
        <w:tc>
          <w:tcPr>
            <w:tcW w:w="2601" w:type="dxa"/>
            <w:vAlign w:val="center"/>
          </w:tcPr>
          <w:p w14:paraId="26681A55">
            <w:pPr>
              <w:keepNext w:val="0"/>
              <w:keepLines w:val="0"/>
              <w:suppressLineNumbers w:val="0"/>
              <w:spacing w:before="0" w:beforeAutospacing="0" w:after="0" w:afterAutospacing="0"/>
              <w:ind w:left="0" w:right="0"/>
              <w:jc w:val="right"/>
              <w:rPr>
                <w:rFonts w:hint="default" w:ascii="宋体" w:hAnsi="宋体"/>
                <w:color w:val="000000"/>
                <w:sz w:val="21"/>
                <w:szCs w:val="21"/>
                <w:highlight w:val="none"/>
              </w:rPr>
            </w:pPr>
          </w:p>
        </w:tc>
      </w:tr>
      <w:tr w14:paraId="5D280D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262C3870">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保证贷款</w:t>
            </w:r>
          </w:p>
        </w:tc>
        <w:tc>
          <w:tcPr>
            <w:tcW w:w="2603" w:type="dxa"/>
            <w:vAlign w:val="center"/>
          </w:tcPr>
          <w:p w14:paraId="7CE5D805">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3,740,000.00</w:t>
            </w:r>
          </w:p>
        </w:tc>
        <w:tc>
          <w:tcPr>
            <w:tcW w:w="2601" w:type="dxa"/>
            <w:vAlign w:val="center"/>
          </w:tcPr>
          <w:p w14:paraId="155EAD3A">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4,930,000.00</w:t>
            </w:r>
          </w:p>
        </w:tc>
      </w:tr>
      <w:tr w14:paraId="524AB6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655BDDA2">
            <w:pPr>
              <w:keepNext w:val="0"/>
              <w:keepLines w:val="0"/>
              <w:widowControl/>
              <w:suppressLineNumbers w:val="0"/>
              <w:spacing w:before="0" w:beforeAutospacing="0" w:after="0" w:afterAutospacing="0"/>
              <w:ind w:left="0" w:right="0"/>
              <w:jc w:val="both"/>
              <w:textAlignment w:val="center"/>
              <w:rPr>
                <w:rFonts w:hint="default" w:ascii="宋体" w:hAnsi="宋体"/>
                <w:b/>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抵（质）押贷款</w:t>
            </w:r>
          </w:p>
        </w:tc>
        <w:tc>
          <w:tcPr>
            <w:tcW w:w="2603" w:type="dxa"/>
            <w:vAlign w:val="center"/>
          </w:tcPr>
          <w:p w14:paraId="2729774E">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4,980,000.00</w:t>
            </w:r>
          </w:p>
        </w:tc>
        <w:tc>
          <w:tcPr>
            <w:tcW w:w="2601" w:type="dxa"/>
            <w:vAlign w:val="center"/>
          </w:tcPr>
          <w:p w14:paraId="4BACD821">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3,500,000.00</w:t>
            </w:r>
          </w:p>
        </w:tc>
      </w:tr>
      <w:tr w14:paraId="2B103C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tcBorders>
              <w:bottom w:val="single" w:color="auto" w:sz="12" w:space="0"/>
            </w:tcBorders>
            <w:vAlign w:val="center"/>
          </w:tcPr>
          <w:p w14:paraId="3AD394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603" w:type="dxa"/>
            <w:tcBorders>
              <w:bottom w:val="single" w:color="auto" w:sz="12" w:space="0"/>
            </w:tcBorders>
            <w:vAlign w:val="center"/>
          </w:tcPr>
          <w:p w14:paraId="0A86BA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8,720,000.00</w:t>
            </w:r>
          </w:p>
        </w:tc>
        <w:tc>
          <w:tcPr>
            <w:tcW w:w="2601" w:type="dxa"/>
            <w:tcBorders>
              <w:bottom w:val="single" w:color="auto" w:sz="12" w:space="0"/>
            </w:tcBorders>
            <w:vAlign w:val="center"/>
          </w:tcPr>
          <w:p w14:paraId="018C89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8,430,000.00</w:t>
            </w:r>
          </w:p>
        </w:tc>
      </w:tr>
    </w:tbl>
    <w:p w14:paraId="390413CF">
      <w:pPr>
        <w:tabs>
          <w:tab w:val="left" w:pos="0"/>
        </w:tabs>
        <w:spacing w:line="480" w:lineRule="exact"/>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个人贷款按担保方式分类</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18"/>
        <w:gridCol w:w="2603"/>
        <w:gridCol w:w="2601"/>
      </w:tblGrid>
      <w:tr w14:paraId="2EFB8B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tcBorders>
              <w:top w:val="single" w:color="auto" w:sz="12" w:space="0"/>
            </w:tcBorders>
            <w:vAlign w:val="center"/>
          </w:tcPr>
          <w:p w14:paraId="376FBD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18"/>
                <w:szCs w:val="18"/>
                <w:highlight w:val="none"/>
                <w:u w:val="none"/>
                <w:lang w:val="en-US" w:eastAsia="zh-CN" w:bidi="ar"/>
              </w:rPr>
              <w:t>项目</w:t>
            </w:r>
          </w:p>
        </w:tc>
        <w:tc>
          <w:tcPr>
            <w:tcW w:w="2603" w:type="dxa"/>
            <w:tcBorders>
              <w:top w:val="single" w:color="auto" w:sz="12" w:space="0"/>
            </w:tcBorders>
            <w:vAlign w:val="center"/>
          </w:tcPr>
          <w:p w14:paraId="0592B6F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kern w:val="0"/>
                <w:sz w:val="21"/>
                <w:szCs w:val="21"/>
                <w:highlight w:val="none"/>
              </w:rPr>
            </w:pPr>
            <w:r>
              <w:rPr>
                <w:rFonts w:hint="eastAsia" w:ascii="宋体" w:hAnsi="宋体" w:eastAsia="宋体" w:cs="宋体"/>
                <w:i w:val="0"/>
                <w:iCs w:val="0"/>
                <w:color w:val="000000"/>
                <w:kern w:val="0"/>
                <w:sz w:val="18"/>
                <w:szCs w:val="18"/>
                <w:highlight w:val="none"/>
                <w:u w:val="none"/>
                <w:lang w:val="en-US" w:eastAsia="zh-CN" w:bidi="ar"/>
              </w:rPr>
              <w:t>期末余额</w:t>
            </w:r>
          </w:p>
        </w:tc>
        <w:tc>
          <w:tcPr>
            <w:tcW w:w="2601" w:type="dxa"/>
            <w:tcBorders>
              <w:top w:val="single" w:color="auto" w:sz="12" w:space="0"/>
            </w:tcBorders>
            <w:vAlign w:val="center"/>
          </w:tcPr>
          <w:p w14:paraId="7FF5A28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kern w:val="0"/>
                <w:sz w:val="21"/>
                <w:szCs w:val="21"/>
                <w:highlight w:val="none"/>
              </w:rPr>
            </w:pPr>
            <w:r>
              <w:rPr>
                <w:rFonts w:hint="eastAsia" w:ascii="宋体" w:hAnsi="宋体" w:eastAsia="宋体" w:cs="宋体"/>
                <w:i w:val="0"/>
                <w:iCs w:val="0"/>
                <w:color w:val="000000"/>
                <w:kern w:val="0"/>
                <w:sz w:val="18"/>
                <w:szCs w:val="18"/>
                <w:highlight w:val="none"/>
                <w:u w:val="none"/>
                <w:lang w:val="en-US" w:eastAsia="zh-CN" w:bidi="ar"/>
              </w:rPr>
              <w:t>期初余额</w:t>
            </w:r>
          </w:p>
        </w:tc>
      </w:tr>
      <w:tr w14:paraId="214A69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451A5DE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信用贷款</w:t>
            </w:r>
          </w:p>
        </w:tc>
        <w:tc>
          <w:tcPr>
            <w:tcW w:w="2603" w:type="dxa"/>
            <w:vAlign w:val="center"/>
          </w:tcPr>
          <w:p w14:paraId="3D83FC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402,806,346.29</w:t>
            </w:r>
          </w:p>
        </w:tc>
        <w:tc>
          <w:tcPr>
            <w:tcW w:w="2601" w:type="dxa"/>
            <w:vAlign w:val="center"/>
          </w:tcPr>
          <w:p w14:paraId="318CD7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365,033,301.65</w:t>
            </w:r>
          </w:p>
        </w:tc>
      </w:tr>
      <w:tr w14:paraId="6DC513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525582E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保证贷款</w:t>
            </w:r>
          </w:p>
        </w:tc>
        <w:tc>
          <w:tcPr>
            <w:tcW w:w="2603" w:type="dxa"/>
            <w:vAlign w:val="center"/>
          </w:tcPr>
          <w:p w14:paraId="45B770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253,391,846.51</w:t>
            </w:r>
          </w:p>
        </w:tc>
        <w:tc>
          <w:tcPr>
            <w:tcW w:w="2601" w:type="dxa"/>
            <w:vAlign w:val="center"/>
          </w:tcPr>
          <w:p w14:paraId="5FA6E5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153,559,830.30</w:t>
            </w:r>
          </w:p>
        </w:tc>
      </w:tr>
      <w:tr w14:paraId="60F92E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vAlign w:val="center"/>
          </w:tcPr>
          <w:p w14:paraId="1672553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抵(质)押贷款</w:t>
            </w:r>
          </w:p>
        </w:tc>
        <w:tc>
          <w:tcPr>
            <w:tcW w:w="2603" w:type="dxa"/>
            <w:vAlign w:val="center"/>
          </w:tcPr>
          <w:p w14:paraId="1D02AB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337,121,615.54</w:t>
            </w:r>
          </w:p>
        </w:tc>
        <w:tc>
          <w:tcPr>
            <w:tcW w:w="2601" w:type="dxa"/>
            <w:vAlign w:val="center"/>
          </w:tcPr>
          <w:p w14:paraId="6319EF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422,614,417.28</w:t>
            </w:r>
          </w:p>
        </w:tc>
      </w:tr>
      <w:tr w14:paraId="12C256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18" w:type="dxa"/>
            <w:tcBorders>
              <w:bottom w:val="single" w:color="auto" w:sz="12" w:space="0"/>
            </w:tcBorders>
            <w:vAlign w:val="center"/>
          </w:tcPr>
          <w:p w14:paraId="097F190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b/>
                <w:sz w:val="21"/>
                <w:szCs w:val="21"/>
                <w:highlight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2603" w:type="dxa"/>
            <w:tcBorders>
              <w:bottom w:val="single" w:color="auto" w:sz="12" w:space="0"/>
            </w:tcBorders>
            <w:vAlign w:val="center"/>
          </w:tcPr>
          <w:p w14:paraId="1A1BDF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993,319,808.34</w:t>
            </w:r>
          </w:p>
        </w:tc>
        <w:tc>
          <w:tcPr>
            <w:tcW w:w="2601" w:type="dxa"/>
            <w:tcBorders>
              <w:bottom w:val="single" w:color="auto" w:sz="12" w:space="0"/>
            </w:tcBorders>
            <w:vAlign w:val="center"/>
          </w:tcPr>
          <w:p w14:paraId="275487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941,207,549.23</w:t>
            </w:r>
          </w:p>
        </w:tc>
      </w:tr>
    </w:tbl>
    <w:p w14:paraId="34984401">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行业分布情况                                          </w:t>
      </w:r>
      <w:r>
        <w:rPr>
          <w:rFonts w:hint="eastAsia" w:ascii="宋体" w:hAnsi="宋体" w:cs="宋体"/>
          <w:highlight w:val="none"/>
        </w:rPr>
        <w:t>人民币万元</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194"/>
        <w:gridCol w:w="2163"/>
        <w:gridCol w:w="2165"/>
      </w:tblGrid>
      <w:tr w14:paraId="0540AA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6" w:hRule="atLeast"/>
          <w:tblHeader/>
          <w:jc w:val="center"/>
        </w:trPr>
        <w:tc>
          <w:tcPr>
            <w:tcW w:w="4194" w:type="dxa"/>
            <w:tcBorders>
              <w:top w:val="single" w:color="auto" w:sz="12" w:space="0"/>
            </w:tcBorders>
            <w:vAlign w:val="center"/>
          </w:tcPr>
          <w:p w14:paraId="02E2A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163" w:type="dxa"/>
            <w:tcBorders>
              <w:top w:val="single" w:color="auto" w:sz="12" w:space="0"/>
            </w:tcBorders>
            <w:vAlign w:val="center"/>
          </w:tcPr>
          <w:p w14:paraId="201B9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165" w:type="dxa"/>
            <w:tcBorders>
              <w:top w:val="single" w:color="auto" w:sz="12" w:space="0"/>
            </w:tcBorders>
            <w:vAlign w:val="center"/>
          </w:tcPr>
          <w:p w14:paraId="5904B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3E6B27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72BC7D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农、林、牧、渔业</w:t>
            </w:r>
          </w:p>
        </w:tc>
        <w:tc>
          <w:tcPr>
            <w:tcW w:w="2163" w:type="dxa"/>
            <w:vAlign w:val="center"/>
          </w:tcPr>
          <w:p w14:paraId="6DDF2F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2,789.73</w:t>
            </w:r>
          </w:p>
        </w:tc>
        <w:tc>
          <w:tcPr>
            <w:tcW w:w="2165" w:type="dxa"/>
            <w:vAlign w:val="center"/>
          </w:tcPr>
          <w:p w14:paraId="7C9A57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2,598.49</w:t>
            </w:r>
          </w:p>
        </w:tc>
      </w:tr>
      <w:tr w14:paraId="4364EC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163571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采矿业</w:t>
            </w:r>
          </w:p>
        </w:tc>
        <w:tc>
          <w:tcPr>
            <w:tcW w:w="2163" w:type="dxa"/>
            <w:vAlign w:val="center"/>
          </w:tcPr>
          <w:p w14:paraId="0CD7D41E">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497D3182">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1101C4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40A48E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制造业</w:t>
            </w:r>
          </w:p>
        </w:tc>
        <w:tc>
          <w:tcPr>
            <w:tcW w:w="2163" w:type="dxa"/>
            <w:vAlign w:val="center"/>
          </w:tcPr>
          <w:p w14:paraId="17A48B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51,703.43</w:t>
            </w:r>
          </w:p>
        </w:tc>
        <w:tc>
          <w:tcPr>
            <w:tcW w:w="2165" w:type="dxa"/>
            <w:vAlign w:val="center"/>
          </w:tcPr>
          <w:p w14:paraId="681885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50,392.02</w:t>
            </w:r>
          </w:p>
        </w:tc>
      </w:tr>
      <w:tr w14:paraId="63C0C4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6B1C3A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电力、热力、燃气及水的生产和供应业</w:t>
            </w:r>
          </w:p>
        </w:tc>
        <w:tc>
          <w:tcPr>
            <w:tcW w:w="2163" w:type="dxa"/>
            <w:vAlign w:val="center"/>
          </w:tcPr>
          <w:p w14:paraId="6355260D">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3A5B0551">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7B6F01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7F9A90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建筑业</w:t>
            </w:r>
          </w:p>
        </w:tc>
        <w:tc>
          <w:tcPr>
            <w:tcW w:w="2163" w:type="dxa"/>
            <w:vAlign w:val="center"/>
          </w:tcPr>
          <w:p w14:paraId="7DFC39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4,532.02</w:t>
            </w:r>
          </w:p>
        </w:tc>
        <w:tc>
          <w:tcPr>
            <w:tcW w:w="2165" w:type="dxa"/>
            <w:vAlign w:val="center"/>
          </w:tcPr>
          <w:p w14:paraId="410967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4,541.61</w:t>
            </w:r>
          </w:p>
        </w:tc>
      </w:tr>
      <w:tr w14:paraId="35CB5F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24BF91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批发和零售业</w:t>
            </w:r>
          </w:p>
        </w:tc>
        <w:tc>
          <w:tcPr>
            <w:tcW w:w="2163" w:type="dxa"/>
            <w:vAlign w:val="center"/>
          </w:tcPr>
          <w:p w14:paraId="25C6F1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23,921.07</w:t>
            </w:r>
          </w:p>
        </w:tc>
        <w:tc>
          <w:tcPr>
            <w:tcW w:w="2165" w:type="dxa"/>
            <w:vAlign w:val="center"/>
          </w:tcPr>
          <w:p w14:paraId="327416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23,126.41</w:t>
            </w:r>
          </w:p>
        </w:tc>
      </w:tr>
      <w:tr w14:paraId="3E2C84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7529999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交通运输、仓储和邮政业</w:t>
            </w:r>
          </w:p>
        </w:tc>
        <w:tc>
          <w:tcPr>
            <w:tcW w:w="2163" w:type="dxa"/>
            <w:vAlign w:val="center"/>
          </w:tcPr>
          <w:p w14:paraId="4B526C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2,755.05</w:t>
            </w:r>
          </w:p>
        </w:tc>
        <w:tc>
          <w:tcPr>
            <w:tcW w:w="2165" w:type="dxa"/>
            <w:vAlign w:val="center"/>
          </w:tcPr>
          <w:p w14:paraId="0A4703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1911.88</w:t>
            </w:r>
          </w:p>
        </w:tc>
      </w:tr>
      <w:tr w14:paraId="5FF75E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52A018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住宿和餐饮业</w:t>
            </w:r>
          </w:p>
        </w:tc>
        <w:tc>
          <w:tcPr>
            <w:tcW w:w="2163" w:type="dxa"/>
            <w:vAlign w:val="center"/>
          </w:tcPr>
          <w:p w14:paraId="426973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5,052.37</w:t>
            </w:r>
          </w:p>
        </w:tc>
        <w:tc>
          <w:tcPr>
            <w:tcW w:w="2165" w:type="dxa"/>
            <w:vAlign w:val="center"/>
          </w:tcPr>
          <w:p w14:paraId="79CABC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3,766.39</w:t>
            </w:r>
          </w:p>
        </w:tc>
      </w:tr>
      <w:tr w14:paraId="2F851A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049347C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信息传输、计算机服务和软件业</w:t>
            </w:r>
          </w:p>
        </w:tc>
        <w:tc>
          <w:tcPr>
            <w:tcW w:w="2163" w:type="dxa"/>
            <w:vAlign w:val="center"/>
          </w:tcPr>
          <w:p w14:paraId="4E811C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55.9</w:t>
            </w:r>
          </w:p>
        </w:tc>
        <w:tc>
          <w:tcPr>
            <w:tcW w:w="2165" w:type="dxa"/>
            <w:vAlign w:val="center"/>
          </w:tcPr>
          <w:p w14:paraId="06FDFF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41.5</w:t>
            </w:r>
          </w:p>
        </w:tc>
      </w:tr>
      <w:tr w14:paraId="4783E3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19BBFA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金融业</w:t>
            </w:r>
          </w:p>
        </w:tc>
        <w:tc>
          <w:tcPr>
            <w:tcW w:w="2163" w:type="dxa"/>
            <w:vAlign w:val="center"/>
          </w:tcPr>
          <w:p w14:paraId="5DE9D642">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437AAA0B">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2F38E0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6DD6032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房地产业</w:t>
            </w:r>
          </w:p>
        </w:tc>
        <w:tc>
          <w:tcPr>
            <w:tcW w:w="2163" w:type="dxa"/>
            <w:vAlign w:val="center"/>
          </w:tcPr>
          <w:p w14:paraId="212CCB39">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59082368">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2C98E2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6AF0F4D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租赁和商务服务业</w:t>
            </w:r>
          </w:p>
        </w:tc>
        <w:tc>
          <w:tcPr>
            <w:tcW w:w="2163" w:type="dxa"/>
            <w:vAlign w:val="center"/>
          </w:tcPr>
          <w:p w14:paraId="4B7523B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1,355.76</w:t>
            </w:r>
          </w:p>
        </w:tc>
        <w:tc>
          <w:tcPr>
            <w:tcW w:w="2165" w:type="dxa"/>
            <w:vAlign w:val="center"/>
          </w:tcPr>
          <w:p w14:paraId="6A9006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1179.79</w:t>
            </w:r>
          </w:p>
        </w:tc>
      </w:tr>
      <w:tr w14:paraId="3F394F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150CC2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科学研究、技术服务业</w:t>
            </w:r>
          </w:p>
        </w:tc>
        <w:tc>
          <w:tcPr>
            <w:tcW w:w="2163" w:type="dxa"/>
            <w:vAlign w:val="center"/>
          </w:tcPr>
          <w:p w14:paraId="1CBC4B5A">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07DE3344">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385E51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59BFE7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水利、环境和公共设施管理业</w:t>
            </w:r>
          </w:p>
        </w:tc>
        <w:tc>
          <w:tcPr>
            <w:tcW w:w="2163" w:type="dxa"/>
            <w:vAlign w:val="center"/>
          </w:tcPr>
          <w:p w14:paraId="4F54954A">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0F15AAAA">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6992FA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6516623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居民服务、修理和其他服务业</w:t>
            </w:r>
          </w:p>
        </w:tc>
        <w:tc>
          <w:tcPr>
            <w:tcW w:w="2163" w:type="dxa"/>
            <w:vAlign w:val="center"/>
          </w:tcPr>
          <w:p w14:paraId="063AC6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5,042.15</w:t>
            </w:r>
          </w:p>
        </w:tc>
        <w:tc>
          <w:tcPr>
            <w:tcW w:w="2165" w:type="dxa"/>
            <w:vAlign w:val="center"/>
          </w:tcPr>
          <w:p w14:paraId="45D1E8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3,432.51</w:t>
            </w:r>
          </w:p>
        </w:tc>
      </w:tr>
      <w:tr w14:paraId="5199A6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29592A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教育</w:t>
            </w:r>
          </w:p>
        </w:tc>
        <w:tc>
          <w:tcPr>
            <w:tcW w:w="2163" w:type="dxa"/>
            <w:vAlign w:val="center"/>
          </w:tcPr>
          <w:p w14:paraId="69E173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882.09</w:t>
            </w:r>
          </w:p>
        </w:tc>
        <w:tc>
          <w:tcPr>
            <w:tcW w:w="2165" w:type="dxa"/>
            <w:vAlign w:val="center"/>
          </w:tcPr>
          <w:p w14:paraId="0BE7D6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1037.75</w:t>
            </w:r>
          </w:p>
        </w:tc>
      </w:tr>
      <w:tr w14:paraId="542CC8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097D2C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卫生和社会工作</w:t>
            </w:r>
          </w:p>
        </w:tc>
        <w:tc>
          <w:tcPr>
            <w:tcW w:w="2163" w:type="dxa"/>
            <w:vAlign w:val="center"/>
          </w:tcPr>
          <w:p w14:paraId="02239D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801.46</w:t>
            </w:r>
          </w:p>
        </w:tc>
        <w:tc>
          <w:tcPr>
            <w:tcW w:w="2165" w:type="dxa"/>
            <w:vAlign w:val="center"/>
          </w:tcPr>
          <w:p w14:paraId="260A24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1,217.00</w:t>
            </w:r>
          </w:p>
        </w:tc>
      </w:tr>
      <w:tr w14:paraId="331252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33A9792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文化、体育和娱乐业</w:t>
            </w:r>
          </w:p>
        </w:tc>
        <w:tc>
          <w:tcPr>
            <w:tcW w:w="2163" w:type="dxa"/>
            <w:vAlign w:val="center"/>
          </w:tcPr>
          <w:p w14:paraId="2ECCF5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255.37</w:t>
            </w:r>
          </w:p>
        </w:tc>
        <w:tc>
          <w:tcPr>
            <w:tcW w:w="2165" w:type="dxa"/>
            <w:vAlign w:val="center"/>
          </w:tcPr>
          <w:p w14:paraId="632FB4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286.84</w:t>
            </w:r>
          </w:p>
        </w:tc>
      </w:tr>
      <w:tr w14:paraId="56E374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140A4E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公共管理、社会保障和社会组织</w:t>
            </w:r>
          </w:p>
        </w:tc>
        <w:tc>
          <w:tcPr>
            <w:tcW w:w="2163" w:type="dxa"/>
            <w:vAlign w:val="center"/>
          </w:tcPr>
          <w:p w14:paraId="030D22C4">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29EEC57D">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597B0C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7C9B82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国际组织</w:t>
            </w:r>
          </w:p>
        </w:tc>
        <w:tc>
          <w:tcPr>
            <w:tcW w:w="2163" w:type="dxa"/>
            <w:vAlign w:val="center"/>
          </w:tcPr>
          <w:p w14:paraId="0638C934">
            <w:pPr>
              <w:keepNext w:val="0"/>
              <w:keepLines w:val="0"/>
              <w:suppressLineNumbers w:val="0"/>
              <w:spacing w:before="0" w:beforeAutospacing="0" w:after="0" w:afterAutospacing="0"/>
              <w:ind w:left="0" w:right="0"/>
              <w:jc w:val="right"/>
              <w:rPr>
                <w:rFonts w:hint="eastAsia" w:ascii="宋体" w:hAnsi="宋体" w:eastAsia="宋体" w:cs="宋体"/>
                <w:kern w:val="0"/>
                <w:sz w:val="21"/>
                <w:szCs w:val="21"/>
                <w:highlight w:val="none"/>
              </w:rPr>
            </w:pPr>
          </w:p>
        </w:tc>
        <w:tc>
          <w:tcPr>
            <w:tcW w:w="2165" w:type="dxa"/>
            <w:vAlign w:val="center"/>
          </w:tcPr>
          <w:p w14:paraId="3F4C3AAD">
            <w:pPr>
              <w:keepNext w:val="0"/>
              <w:keepLines w:val="0"/>
              <w:suppressLineNumbers w:val="0"/>
              <w:spacing w:before="0" w:beforeAutospacing="0" w:after="0" w:afterAutospacing="0"/>
              <w:ind w:left="0" w:right="0"/>
              <w:jc w:val="right"/>
              <w:rPr>
                <w:rFonts w:hint="eastAsia" w:ascii="宋体" w:hAnsi="宋体" w:eastAsia="宋体" w:cs="宋体"/>
                <w:color w:val="000000"/>
                <w:sz w:val="21"/>
                <w:szCs w:val="21"/>
                <w:highlight w:val="none"/>
              </w:rPr>
            </w:pPr>
          </w:p>
        </w:tc>
      </w:tr>
      <w:tr w14:paraId="099834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vAlign w:val="center"/>
          </w:tcPr>
          <w:p w14:paraId="157B1C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其他</w:t>
            </w:r>
          </w:p>
        </w:tc>
        <w:tc>
          <w:tcPr>
            <w:tcW w:w="2163" w:type="dxa"/>
            <w:vAlign w:val="center"/>
          </w:tcPr>
          <w:p w14:paraId="2D93FF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1,057.58</w:t>
            </w:r>
          </w:p>
        </w:tc>
        <w:tc>
          <w:tcPr>
            <w:tcW w:w="2165" w:type="dxa"/>
            <w:vAlign w:val="center"/>
          </w:tcPr>
          <w:p w14:paraId="7612DA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1,431.56</w:t>
            </w:r>
          </w:p>
        </w:tc>
      </w:tr>
      <w:tr w14:paraId="71107B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4194" w:type="dxa"/>
            <w:tcBorders>
              <w:bottom w:val="single" w:color="auto" w:sz="12" w:space="0"/>
            </w:tcBorders>
            <w:vAlign w:val="center"/>
          </w:tcPr>
          <w:p w14:paraId="11FC7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163" w:type="dxa"/>
            <w:tcBorders>
              <w:bottom w:val="single" w:color="auto" w:sz="12" w:space="0"/>
            </w:tcBorders>
            <w:vAlign w:val="center"/>
          </w:tcPr>
          <w:p w14:paraId="0EFE18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100,203.98</w:t>
            </w:r>
          </w:p>
        </w:tc>
        <w:tc>
          <w:tcPr>
            <w:tcW w:w="2165" w:type="dxa"/>
            <w:tcBorders>
              <w:bottom w:val="single" w:color="auto" w:sz="12" w:space="0"/>
            </w:tcBorders>
            <w:vAlign w:val="center"/>
          </w:tcPr>
          <w:p w14:paraId="101197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94,963.75</w:t>
            </w:r>
          </w:p>
        </w:tc>
      </w:tr>
    </w:tbl>
    <w:p w14:paraId="3DA3177A">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按贷款风险等级分类（含贴现净值）                      </w:t>
      </w:r>
      <w:r>
        <w:rPr>
          <w:rFonts w:hint="eastAsia" w:ascii="宋体" w:hAnsi="宋体" w:cs="宋体"/>
          <w:highlight w:val="none"/>
        </w:rPr>
        <w:t>人民币万元</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89"/>
        <w:gridCol w:w="2956"/>
        <w:gridCol w:w="2777"/>
      </w:tblGrid>
      <w:tr w14:paraId="7CA119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54" w:hRule="atLeast"/>
          <w:tblHeader/>
          <w:jc w:val="center"/>
        </w:trPr>
        <w:tc>
          <w:tcPr>
            <w:tcW w:w="2789" w:type="dxa"/>
            <w:tcBorders>
              <w:top w:val="single" w:color="auto" w:sz="12" w:space="0"/>
            </w:tcBorders>
            <w:vAlign w:val="center"/>
          </w:tcPr>
          <w:p w14:paraId="00F31D05">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风险分类</w:t>
            </w:r>
          </w:p>
        </w:tc>
        <w:tc>
          <w:tcPr>
            <w:tcW w:w="2956" w:type="dxa"/>
            <w:tcBorders>
              <w:top w:val="single" w:color="auto" w:sz="12" w:space="0"/>
            </w:tcBorders>
            <w:vAlign w:val="center"/>
          </w:tcPr>
          <w:p w14:paraId="4BCF8999">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777" w:type="dxa"/>
            <w:tcBorders>
              <w:top w:val="single" w:color="auto" w:sz="12" w:space="0"/>
            </w:tcBorders>
            <w:vAlign w:val="center"/>
          </w:tcPr>
          <w:p w14:paraId="144C55A3">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28DC69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vAlign w:val="center"/>
          </w:tcPr>
          <w:p w14:paraId="12B85364">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正常类</w:t>
            </w:r>
          </w:p>
        </w:tc>
        <w:tc>
          <w:tcPr>
            <w:tcW w:w="2956" w:type="dxa"/>
            <w:vAlign w:val="bottom"/>
          </w:tcPr>
          <w:p w14:paraId="2A68468F">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94,836.40</w:t>
            </w:r>
          </w:p>
        </w:tc>
        <w:tc>
          <w:tcPr>
            <w:tcW w:w="2777" w:type="dxa"/>
            <w:vAlign w:val="bottom"/>
          </w:tcPr>
          <w:p w14:paraId="09F2F970">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91,070.08</w:t>
            </w:r>
          </w:p>
        </w:tc>
      </w:tr>
      <w:tr w14:paraId="1842B5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vAlign w:val="center"/>
          </w:tcPr>
          <w:p w14:paraId="2F536662">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关注类</w:t>
            </w:r>
          </w:p>
        </w:tc>
        <w:tc>
          <w:tcPr>
            <w:tcW w:w="2956" w:type="dxa"/>
            <w:vAlign w:val="bottom"/>
          </w:tcPr>
          <w:p w14:paraId="764584F2">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4,910.18</w:t>
            </w:r>
          </w:p>
        </w:tc>
        <w:tc>
          <w:tcPr>
            <w:tcW w:w="2777" w:type="dxa"/>
            <w:vAlign w:val="bottom"/>
          </w:tcPr>
          <w:p w14:paraId="0089293C">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3,327.79</w:t>
            </w:r>
          </w:p>
        </w:tc>
      </w:tr>
      <w:tr w14:paraId="22AC37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vAlign w:val="center"/>
          </w:tcPr>
          <w:p w14:paraId="47B0525B">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次级类</w:t>
            </w:r>
          </w:p>
        </w:tc>
        <w:tc>
          <w:tcPr>
            <w:tcW w:w="2956" w:type="dxa"/>
            <w:vAlign w:val="bottom"/>
          </w:tcPr>
          <w:p w14:paraId="12C5B217">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25.87</w:t>
            </w:r>
          </w:p>
        </w:tc>
        <w:tc>
          <w:tcPr>
            <w:tcW w:w="2777" w:type="dxa"/>
            <w:vAlign w:val="bottom"/>
          </w:tcPr>
          <w:p w14:paraId="516A4DE0">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63.15</w:t>
            </w:r>
          </w:p>
        </w:tc>
      </w:tr>
      <w:tr w14:paraId="551896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vAlign w:val="center"/>
          </w:tcPr>
          <w:p w14:paraId="51C50C5E">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可疑类</w:t>
            </w:r>
          </w:p>
        </w:tc>
        <w:tc>
          <w:tcPr>
            <w:tcW w:w="2956" w:type="dxa"/>
            <w:vAlign w:val="bottom"/>
          </w:tcPr>
          <w:p w14:paraId="3DB47748">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348.83</w:t>
            </w:r>
          </w:p>
        </w:tc>
        <w:tc>
          <w:tcPr>
            <w:tcW w:w="2777" w:type="dxa"/>
            <w:vAlign w:val="bottom"/>
          </w:tcPr>
          <w:p w14:paraId="5C7605D3">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470.25</w:t>
            </w:r>
          </w:p>
        </w:tc>
      </w:tr>
      <w:tr w14:paraId="729B7B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vAlign w:val="center"/>
          </w:tcPr>
          <w:p w14:paraId="1B3B682B">
            <w:pPr>
              <w:keepNext w:val="0"/>
              <w:keepLines w:val="0"/>
              <w:widowControl/>
              <w:suppressLineNumbers w:val="0"/>
              <w:spacing w:before="0" w:beforeAutospacing="0" w:after="0" w:afterAutospacing="0"/>
              <w:ind w:left="0" w:right="0"/>
              <w:jc w:val="both"/>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损失类</w:t>
            </w:r>
          </w:p>
        </w:tc>
        <w:tc>
          <w:tcPr>
            <w:tcW w:w="2956" w:type="dxa"/>
            <w:vAlign w:val="bottom"/>
          </w:tcPr>
          <w:p w14:paraId="04A4CD00">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82.7</w:t>
            </w:r>
          </w:p>
        </w:tc>
        <w:tc>
          <w:tcPr>
            <w:tcW w:w="2777" w:type="dxa"/>
            <w:vAlign w:val="bottom"/>
          </w:tcPr>
          <w:p w14:paraId="0D790BBC">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32.48</w:t>
            </w:r>
          </w:p>
        </w:tc>
      </w:tr>
      <w:tr w14:paraId="04E43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789" w:type="dxa"/>
            <w:tcBorders>
              <w:bottom w:val="single" w:color="auto" w:sz="12" w:space="0"/>
            </w:tcBorders>
            <w:vAlign w:val="center"/>
          </w:tcPr>
          <w:p w14:paraId="49F8F9A1">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956" w:type="dxa"/>
            <w:tcBorders>
              <w:bottom w:val="single" w:color="auto" w:sz="12" w:space="0"/>
            </w:tcBorders>
            <w:vAlign w:val="bottom"/>
          </w:tcPr>
          <w:p w14:paraId="652CE3A2">
            <w:pPr>
              <w:keepNext w:val="0"/>
              <w:keepLines w:val="0"/>
              <w:widowControl/>
              <w:suppressLineNumbers w:val="0"/>
              <w:spacing w:before="0" w:beforeAutospacing="0" w:after="0" w:afterAutospacing="0"/>
              <w:ind w:left="0" w:right="0"/>
              <w:jc w:val="right"/>
              <w:textAlignment w:val="bottom"/>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100,203.98</w:t>
            </w:r>
          </w:p>
        </w:tc>
        <w:tc>
          <w:tcPr>
            <w:tcW w:w="2777" w:type="dxa"/>
            <w:tcBorders>
              <w:bottom w:val="single" w:color="auto" w:sz="12" w:space="0"/>
            </w:tcBorders>
            <w:vAlign w:val="bottom"/>
          </w:tcPr>
          <w:p w14:paraId="55AD28DC">
            <w:pPr>
              <w:keepNext w:val="0"/>
              <w:keepLines w:val="0"/>
              <w:widowControl/>
              <w:suppressLineNumbers w:val="0"/>
              <w:spacing w:before="0" w:beforeAutospacing="0" w:after="0" w:afterAutospacing="0"/>
              <w:ind w:left="0" w:right="0"/>
              <w:jc w:val="right"/>
              <w:textAlignment w:val="bottom"/>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94,963.75</w:t>
            </w:r>
          </w:p>
        </w:tc>
      </w:tr>
    </w:tbl>
    <w:p w14:paraId="194EB815">
      <w:pPr>
        <w:tabs>
          <w:tab w:val="left" w:pos="0"/>
        </w:tabs>
        <w:spacing w:line="480" w:lineRule="exact"/>
        <w:ind w:firstLine="480" w:firstLineChars="200"/>
        <w:rPr>
          <w:rFonts w:ascii="宋体" w:hAnsi="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 xml:space="preserve">逾期贷款                                              </w:t>
      </w:r>
      <w:r>
        <w:rPr>
          <w:rFonts w:hint="eastAsia" w:ascii="宋体" w:hAnsi="宋体" w:cs="宋体"/>
          <w:highlight w:val="none"/>
        </w:rPr>
        <w:t>人民币万元</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895"/>
        <w:gridCol w:w="2333"/>
        <w:gridCol w:w="2294"/>
      </w:tblGrid>
      <w:tr w14:paraId="0B2F49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tblHeader/>
          <w:jc w:val="center"/>
        </w:trPr>
        <w:tc>
          <w:tcPr>
            <w:tcW w:w="3895" w:type="dxa"/>
            <w:tcBorders>
              <w:top w:val="single" w:color="auto" w:sz="12" w:space="0"/>
            </w:tcBorders>
            <w:vAlign w:val="center"/>
          </w:tcPr>
          <w:p w14:paraId="7F59904D">
            <w:pPr>
              <w:keepNext w:val="0"/>
              <w:keepLines w:val="0"/>
              <w:widowControl/>
              <w:suppressLineNumbers w:val="0"/>
              <w:spacing w:before="0" w:beforeAutospacing="0" w:after="0" w:afterAutospacing="0"/>
              <w:ind w:left="0" w:right="0"/>
              <w:jc w:val="center"/>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333" w:type="dxa"/>
            <w:tcBorders>
              <w:top w:val="single" w:color="auto" w:sz="12" w:space="0"/>
            </w:tcBorders>
            <w:vAlign w:val="center"/>
          </w:tcPr>
          <w:p w14:paraId="7C6859A6">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294" w:type="dxa"/>
            <w:tcBorders>
              <w:top w:val="single" w:color="auto" w:sz="12" w:space="0"/>
            </w:tcBorders>
            <w:vAlign w:val="center"/>
          </w:tcPr>
          <w:p w14:paraId="2C4065BC">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6AD046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5FC67158">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逾期30天以内的贷款</w:t>
            </w:r>
          </w:p>
        </w:tc>
        <w:tc>
          <w:tcPr>
            <w:tcW w:w="2333" w:type="dxa"/>
            <w:vAlign w:val="center"/>
          </w:tcPr>
          <w:p w14:paraId="3EF0D76E">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1,361.75 </w:t>
            </w:r>
          </w:p>
        </w:tc>
        <w:tc>
          <w:tcPr>
            <w:tcW w:w="2294" w:type="dxa"/>
            <w:vAlign w:val="center"/>
          </w:tcPr>
          <w:p w14:paraId="4F4D110B">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633.48 </w:t>
            </w:r>
          </w:p>
        </w:tc>
      </w:tr>
      <w:tr w14:paraId="34A646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3FD50701">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逾期31天到90天贷款</w:t>
            </w:r>
          </w:p>
        </w:tc>
        <w:tc>
          <w:tcPr>
            <w:tcW w:w="2333" w:type="dxa"/>
            <w:vAlign w:val="center"/>
          </w:tcPr>
          <w:p w14:paraId="1B35A55F">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2,482.72 </w:t>
            </w:r>
          </w:p>
        </w:tc>
        <w:tc>
          <w:tcPr>
            <w:tcW w:w="2294" w:type="dxa"/>
            <w:vAlign w:val="center"/>
          </w:tcPr>
          <w:p w14:paraId="20D6A3EA">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191.96 </w:t>
            </w:r>
          </w:p>
        </w:tc>
      </w:tr>
      <w:tr w14:paraId="74CC61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158BB3B5">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逾期91天到180天贷款</w:t>
            </w:r>
          </w:p>
        </w:tc>
        <w:tc>
          <w:tcPr>
            <w:tcW w:w="2333" w:type="dxa"/>
            <w:vAlign w:val="center"/>
          </w:tcPr>
          <w:p w14:paraId="154FD248">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25.87 </w:t>
            </w:r>
          </w:p>
        </w:tc>
        <w:tc>
          <w:tcPr>
            <w:tcW w:w="2294" w:type="dxa"/>
            <w:vAlign w:val="center"/>
          </w:tcPr>
          <w:p w14:paraId="6D74F1B4">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17.00 </w:t>
            </w:r>
          </w:p>
        </w:tc>
      </w:tr>
      <w:tr w14:paraId="390B25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2434C8EA">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逾期181天到270天贷款</w:t>
            </w:r>
          </w:p>
        </w:tc>
        <w:tc>
          <w:tcPr>
            <w:tcW w:w="2333" w:type="dxa"/>
            <w:vAlign w:val="center"/>
          </w:tcPr>
          <w:p w14:paraId="2555C6D9">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19.70 </w:t>
            </w:r>
          </w:p>
        </w:tc>
        <w:tc>
          <w:tcPr>
            <w:tcW w:w="2294" w:type="dxa"/>
            <w:vAlign w:val="center"/>
          </w:tcPr>
          <w:p w14:paraId="51319ACC">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46.15 </w:t>
            </w:r>
          </w:p>
        </w:tc>
      </w:tr>
      <w:tr w14:paraId="0A3A25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47CCA44E">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逾期271天到360天贷款</w:t>
            </w:r>
          </w:p>
        </w:tc>
        <w:tc>
          <w:tcPr>
            <w:tcW w:w="2333" w:type="dxa"/>
            <w:vAlign w:val="center"/>
          </w:tcPr>
          <w:p w14:paraId="63AE419E">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30.26 </w:t>
            </w:r>
          </w:p>
        </w:tc>
        <w:tc>
          <w:tcPr>
            <w:tcW w:w="2294" w:type="dxa"/>
            <w:vAlign w:val="center"/>
          </w:tcPr>
          <w:p w14:paraId="01D8D38D">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47.00 </w:t>
            </w:r>
          </w:p>
        </w:tc>
      </w:tr>
      <w:tr w14:paraId="72BE12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vAlign w:val="center"/>
          </w:tcPr>
          <w:p w14:paraId="3B5DD84D">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逾期361天以上贷款</w:t>
            </w:r>
          </w:p>
        </w:tc>
        <w:tc>
          <w:tcPr>
            <w:tcW w:w="2333" w:type="dxa"/>
            <w:vAlign w:val="center"/>
          </w:tcPr>
          <w:p w14:paraId="065516C0">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381.57 </w:t>
            </w:r>
          </w:p>
        </w:tc>
        <w:tc>
          <w:tcPr>
            <w:tcW w:w="2294" w:type="dxa"/>
            <w:vAlign w:val="center"/>
          </w:tcPr>
          <w:p w14:paraId="44058F29">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455.73 </w:t>
            </w:r>
          </w:p>
        </w:tc>
      </w:tr>
      <w:tr w14:paraId="0431ED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3" w:hRule="atLeast"/>
          <w:jc w:val="center"/>
        </w:trPr>
        <w:tc>
          <w:tcPr>
            <w:tcW w:w="3895" w:type="dxa"/>
            <w:tcBorders>
              <w:bottom w:val="single" w:color="auto" w:sz="12" w:space="0"/>
            </w:tcBorders>
            <w:vAlign w:val="center"/>
          </w:tcPr>
          <w:p w14:paraId="0AB3A85B">
            <w:pPr>
              <w:keepNext w:val="0"/>
              <w:keepLines w:val="0"/>
              <w:widowControl/>
              <w:suppressLineNumbers w:val="0"/>
              <w:spacing w:before="0" w:beforeAutospacing="0" w:after="0" w:afterAutospacing="0"/>
              <w:ind w:left="0" w:right="0"/>
              <w:jc w:val="center"/>
              <w:textAlignment w:val="center"/>
              <w:rPr>
                <w:rFonts w:hint="default" w:ascii="宋体" w:hAnsi="宋体"/>
                <w:b/>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333" w:type="dxa"/>
            <w:tcBorders>
              <w:bottom w:val="single" w:color="auto" w:sz="12" w:space="0"/>
            </w:tcBorders>
            <w:vAlign w:val="center"/>
          </w:tcPr>
          <w:p w14:paraId="4B798DAD">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4,301.87 </w:t>
            </w:r>
          </w:p>
        </w:tc>
        <w:tc>
          <w:tcPr>
            <w:tcW w:w="2294" w:type="dxa"/>
            <w:tcBorders>
              <w:bottom w:val="single" w:color="auto" w:sz="12" w:space="0"/>
            </w:tcBorders>
            <w:vAlign w:val="center"/>
          </w:tcPr>
          <w:p w14:paraId="224E43D1">
            <w:pPr>
              <w:keepNext w:val="0"/>
              <w:keepLines w:val="0"/>
              <w:widowControl/>
              <w:suppressLineNumbers w:val="0"/>
              <w:spacing w:before="0" w:beforeAutospacing="0" w:after="0" w:afterAutospacing="0"/>
              <w:ind w:left="0" w:right="0"/>
              <w:jc w:val="right"/>
              <w:textAlignment w:val="center"/>
              <w:rPr>
                <w:rFonts w:hint="default"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1,391.32 </w:t>
            </w:r>
          </w:p>
        </w:tc>
      </w:tr>
    </w:tbl>
    <w:p w14:paraId="0C325639">
      <w:pPr>
        <w:tabs>
          <w:tab w:val="left" w:pos="0"/>
        </w:tabs>
        <w:spacing w:line="480" w:lineRule="exact"/>
        <w:ind w:firstLine="480" w:firstLineChars="200"/>
        <w:rPr>
          <w:rFonts w:ascii="宋体" w:hAnsi="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lang w:eastAsia="zh-CN"/>
        </w:rPr>
        <w:t>、</w:t>
      </w:r>
      <w:r>
        <w:rPr>
          <w:rFonts w:hint="eastAsia" w:ascii="宋体" w:hAnsi="宋体" w:cs="宋体"/>
          <w:sz w:val="24"/>
          <w:szCs w:val="24"/>
          <w:highlight w:val="none"/>
        </w:rPr>
        <w:t>贷款损失准备</w:t>
      </w:r>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68"/>
        <w:gridCol w:w="2800"/>
        <w:gridCol w:w="2454"/>
      </w:tblGrid>
      <w:tr w14:paraId="6EAD86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trPr>
        <w:tc>
          <w:tcPr>
            <w:tcW w:w="3268" w:type="dxa"/>
            <w:tcBorders>
              <w:top w:val="single" w:color="auto" w:sz="12" w:space="0"/>
            </w:tcBorders>
            <w:vAlign w:val="center"/>
          </w:tcPr>
          <w:p w14:paraId="0BFF4E59">
            <w:pPr>
              <w:keepNext w:val="0"/>
              <w:keepLines w:val="0"/>
              <w:widowControl/>
              <w:suppressLineNumbers w:val="0"/>
              <w:spacing w:before="0" w:beforeAutospacing="0" w:after="0" w:afterAutospacing="0"/>
              <w:ind w:left="0" w:right="0"/>
              <w:jc w:val="center"/>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贷款损失准备</w:t>
            </w:r>
          </w:p>
        </w:tc>
        <w:tc>
          <w:tcPr>
            <w:tcW w:w="2800" w:type="dxa"/>
            <w:tcBorders>
              <w:top w:val="single" w:color="auto" w:sz="12" w:space="0"/>
            </w:tcBorders>
            <w:vAlign w:val="center"/>
          </w:tcPr>
          <w:p w14:paraId="0792E438">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454" w:type="dxa"/>
            <w:tcBorders>
              <w:top w:val="single" w:color="auto" w:sz="12" w:space="0"/>
            </w:tcBorders>
            <w:vAlign w:val="center"/>
          </w:tcPr>
          <w:p w14:paraId="23C18968">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53BA49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268" w:type="dxa"/>
            <w:vAlign w:val="center"/>
          </w:tcPr>
          <w:p w14:paraId="66F5FF58">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c>
          <w:tcPr>
            <w:tcW w:w="2800" w:type="dxa"/>
            <w:vAlign w:val="center"/>
          </w:tcPr>
          <w:p w14:paraId="59501150">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24,010,106.16</w:t>
            </w:r>
          </w:p>
        </w:tc>
        <w:tc>
          <w:tcPr>
            <w:tcW w:w="2454" w:type="dxa"/>
            <w:vAlign w:val="center"/>
          </w:tcPr>
          <w:p w14:paraId="417A9102">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20,797,589.95</w:t>
            </w:r>
          </w:p>
        </w:tc>
      </w:tr>
      <w:tr w14:paraId="2099FE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3268" w:type="dxa"/>
            <w:vAlign w:val="center"/>
          </w:tcPr>
          <w:p w14:paraId="22BD02A1">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本期计提</w:t>
            </w:r>
          </w:p>
        </w:tc>
        <w:tc>
          <w:tcPr>
            <w:tcW w:w="2800" w:type="dxa"/>
            <w:vAlign w:val="center"/>
          </w:tcPr>
          <w:p w14:paraId="4C9F67C1">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24,479,070.64</w:t>
            </w:r>
          </w:p>
        </w:tc>
        <w:tc>
          <w:tcPr>
            <w:tcW w:w="2454" w:type="dxa"/>
            <w:vAlign w:val="center"/>
          </w:tcPr>
          <w:p w14:paraId="6FA7E62B">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3,212,516.21</w:t>
            </w:r>
          </w:p>
        </w:tc>
      </w:tr>
      <w:tr w14:paraId="40290E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7" w:hRule="atLeast"/>
        </w:trPr>
        <w:tc>
          <w:tcPr>
            <w:tcW w:w="3268" w:type="dxa"/>
            <w:vAlign w:val="center"/>
          </w:tcPr>
          <w:p w14:paraId="715CF2BF">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其他减少</w:t>
            </w:r>
          </w:p>
        </w:tc>
        <w:tc>
          <w:tcPr>
            <w:tcW w:w="2800" w:type="dxa"/>
            <w:vAlign w:val="center"/>
          </w:tcPr>
          <w:p w14:paraId="570D48AB">
            <w:pPr>
              <w:keepNext w:val="0"/>
              <w:keepLines w:val="0"/>
              <w:suppressLineNumbers w:val="0"/>
              <w:spacing w:before="0" w:beforeAutospacing="0" w:after="0" w:afterAutospacing="0"/>
              <w:ind w:left="0" w:right="0"/>
              <w:jc w:val="right"/>
              <w:rPr>
                <w:rFonts w:hint="default" w:ascii="宋体" w:hAnsi="宋体" w:cs="宋体"/>
                <w:kern w:val="0"/>
                <w:sz w:val="21"/>
                <w:szCs w:val="21"/>
                <w:highlight w:val="none"/>
                <w:lang w:val="en-US"/>
              </w:rPr>
            </w:pPr>
          </w:p>
        </w:tc>
        <w:tc>
          <w:tcPr>
            <w:tcW w:w="2454" w:type="dxa"/>
            <w:vAlign w:val="center"/>
          </w:tcPr>
          <w:p w14:paraId="6215D047">
            <w:pPr>
              <w:keepNext w:val="0"/>
              <w:keepLines w:val="0"/>
              <w:suppressLineNumbers w:val="0"/>
              <w:spacing w:before="0" w:beforeAutospacing="0" w:after="0" w:afterAutospacing="0"/>
              <w:ind w:left="0" w:right="0"/>
              <w:jc w:val="right"/>
              <w:rPr>
                <w:rFonts w:hint="default" w:ascii="宋体" w:hAnsi="宋体"/>
                <w:color w:val="000000"/>
                <w:sz w:val="21"/>
                <w:szCs w:val="21"/>
                <w:highlight w:val="none"/>
              </w:rPr>
            </w:pPr>
          </w:p>
        </w:tc>
      </w:tr>
      <w:tr w14:paraId="46C6E1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68" w:type="dxa"/>
            <w:vAlign w:val="center"/>
          </w:tcPr>
          <w:p w14:paraId="54236F46">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本期核销</w:t>
            </w:r>
          </w:p>
        </w:tc>
        <w:tc>
          <w:tcPr>
            <w:tcW w:w="2800" w:type="dxa"/>
            <w:vAlign w:val="center"/>
          </w:tcPr>
          <w:p w14:paraId="2D8D3756">
            <w:pPr>
              <w:keepNext w:val="0"/>
              <w:keepLines w:val="0"/>
              <w:suppressLineNumbers w:val="0"/>
              <w:spacing w:before="0" w:beforeAutospacing="0" w:after="0" w:afterAutospacing="0"/>
              <w:ind w:left="0" w:right="0"/>
              <w:jc w:val="right"/>
              <w:rPr>
                <w:rFonts w:hint="default" w:ascii="宋体" w:hAnsi="宋体" w:cs="宋体"/>
                <w:kern w:val="0"/>
                <w:sz w:val="21"/>
                <w:szCs w:val="21"/>
                <w:highlight w:val="none"/>
              </w:rPr>
            </w:pPr>
          </w:p>
        </w:tc>
        <w:tc>
          <w:tcPr>
            <w:tcW w:w="2454" w:type="dxa"/>
            <w:vAlign w:val="center"/>
          </w:tcPr>
          <w:p w14:paraId="0A3CA90F">
            <w:pPr>
              <w:keepNext w:val="0"/>
              <w:keepLines w:val="0"/>
              <w:suppressLineNumbers w:val="0"/>
              <w:spacing w:before="0" w:beforeAutospacing="0" w:after="0" w:afterAutospacing="0"/>
              <w:ind w:left="0" w:right="0"/>
              <w:jc w:val="right"/>
              <w:rPr>
                <w:rFonts w:hint="default" w:ascii="宋体" w:hAnsi="宋体"/>
                <w:color w:val="000000"/>
                <w:sz w:val="21"/>
                <w:szCs w:val="21"/>
                <w:highlight w:val="none"/>
              </w:rPr>
            </w:pPr>
          </w:p>
        </w:tc>
      </w:tr>
      <w:tr w14:paraId="406A4A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6" w:hRule="atLeast"/>
        </w:trPr>
        <w:tc>
          <w:tcPr>
            <w:tcW w:w="3268" w:type="dxa"/>
            <w:vAlign w:val="center"/>
          </w:tcPr>
          <w:p w14:paraId="2344B4BD">
            <w:pPr>
              <w:keepNext w:val="0"/>
              <w:keepLines w:val="0"/>
              <w:widowControl/>
              <w:suppressLineNumbers w:val="0"/>
              <w:spacing w:before="0" w:beforeAutospacing="0" w:after="0" w:afterAutospacing="0"/>
              <w:ind w:left="0" w:right="0"/>
              <w:jc w:val="both"/>
              <w:textAlignment w:val="center"/>
              <w:rPr>
                <w:rFonts w:hint="default"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其他增加</w:t>
            </w:r>
          </w:p>
        </w:tc>
        <w:tc>
          <w:tcPr>
            <w:tcW w:w="2800" w:type="dxa"/>
            <w:vAlign w:val="center"/>
          </w:tcPr>
          <w:p w14:paraId="7ABA021E">
            <w:pPr>
              <w:keepNext w:val="0"/>
              <w:keepLines w:val="0"/>
              <w:suppressLineNumbers w:val="0"/>
              <w:spacing w:before="0" w:beforeAutospacing="0" w:after="0" w:afterAutospacing="0"/>
              <w:ind w:left="0" w:right="0"/>
              <w:jc w:val="right"/>
              <w:rPr>
                <w:rFonts w:hint="default" w:ascii="宋体" w:hAnsi="宋体" w:cs="宋体"/>
                <w:kern w:val="0"/>
                <w:sz w:val="21"/>
                <w:szCs w:val="21"/>
                <w:highlight w:val="none"/>
              </w:rPr>
            </w:pPr>
          </w:p>
        </w:tc>
        <w:tc>
          <w:tcPr>
            <w:tcW w:w="2454" w:type="dxa"/>
            <w:vAlign w:val="center"/>
          </w:tcPr>
          <w:p w14:paraId="6423E3C7">
            <w:pPr>
              <w:keepNext w:val="0"/>
              <w:keepLines w:val="0"/>
              <w:suppressLineNumbers w:val="0"/>
              <w:spacing w:before="0" w:beforeAutospacing="0" w:after="0" w:afterAutospacing="0"/>
              <w:ind w:left="0" w:right="0"/>
              <w:jc w:val="right"/>
              <w:rPr>
                <w:rFonts w:hint="default" w:ascii="宋体" w:hAnsi="宋体"/>
                <w:color w:val="000000"/>
                <w:sz w:val="21"/>
                <w:szCs w:val="21"/>
                <w:highlight w:val="none"/>
              </w:rPr>
            </w:pPr>
          </w:p>
        </w:tc>
      </w:tr>
      <w:tr w14:paraId="7BBDBA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3" w:hRule="atLeast"/>
        </w:trPr>
        <w:tc>
          <w:tcPr>
            <w:tcW w:w="3268" w:type="dxa"/>
            <w:vAlign w:val="center"/>
          </w:tcPr>
          <w:p w14:paraId="45DAD63E">
            <w:pPr>
              <w:keepNext w:val="0"/>
              <w:keepLines w:val="0"/>
              <w:widowControl/>
              <w:suppressLineNumbers w:val="0"/>
              <w:spacing w:before="0" w:beforeAutospacing="0" w:after="0" w:afterAutospacing="0"/>
              <w:ind w:left="0" w:right="0"/>
              <w:jc w:val="center"/>
              <w:textAlignment w:val="center"/>
              <w:rPr>
                <w:rFonts w:hint="default" w:ascii="宋体" w:hAnsi="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期末余额</w:t>
            </w:r>
          </w:p>
        </w:tc>
        <w:tc>
          <w:tcPr>
            <w:tcW w:w="2800" w:type="dxa"/>
            <w:vAlign w:val="center"/>
          </w:tcPr>
          <w:p w14:paraId="40A12844">
            <w:pPr>
              <w:keepNext w:val="0"/>
              <w:keepLines w:val="0"/>
              <w:widowControl/>
              <w:suppressLineNumbers w:val="0"/>
              <w:spacing w:before="0" w:beforeAutospacing="0" w:after="0" w:afterAutospacing="0"/>
              <w:ind w:left="0" w:right="0"/>
              <w:jc w:val="right"/>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48,489,176.80</w:t>
            </w:r>
          </w:p>
        </w:tc>
        <w:tc>
          <w:tcPr>
            <w:tcW w:w="2454" w:type="dxa"/>
            <w:vAlign w:val="center"/>
          </w:tcPr>
          <w:p w14:paraId="5D7DDDC2">
            <w:pPr>
              <w:keepNext w:val="0"/>
              <w:keepLines w:val="0"/>
              <w:widowControl/>
              <w:suppressLineNumbers w:val="0"/>
              <w:spacing w:before="0" w:beforeAutospacing="0" w:after="0" w:afterAutospacing="0"/>
              <w:ind w:left="0" w:right="0"/>
              <w:jc w:val="right"/>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24,010,106.16</w:t>
            </w:r>
          </w:p>
        </w:tc>
      </w:tr>
    </w:tbl>
    <w:p w14:paraId="7805C1C3">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四</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固定资产</w:t>
      </w:r>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886"/>
        <w:gridCol w:w="2686"/>
        <w:gridCol w:w="2950"/>
      </w:tblGrid>
      <w:tr w14:paraId="7A11B2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1" w:hRule="atLeast"/>
        </w:trPr>
        <w:tc>
          <w:tcPr>
            <w:tcW w:w="2886" w:type="dxa"/>
            <w:vAlign w:val="center"/>
          </w:tcPr>
          <w:p w14:paraId="4FE38714">
            <w:pPr>
              <w:keepNext w:val="0"/>
              <w:keepLines w:val="0"/>
              <w:widowControl/>
              <w:suppressLineNumbers w:val="0"/>
              <w:spacing w:before="0" w:beforeAutospacing="0" w:after="0" w:afterAutospacing="0"/>
              <w:ind w:left="0" w:right="0" w:firstLine="210" w:firstLineChars="100"/>
              <w:rPr>
                <w:rFonts w:hint="eastAsia" w:ascii="宋体" w:hAnsi="宋体"/>
                <w:kern w:val="0"/>
                <w:highlight w:val="none"/>
              </w:rPr>
            </w:pPr>
            <w:r>
              <w:rPr>
                <w:rFonts w:hint="eastAsia" w:ascii="宋体" w:hAnsi="宋体"/>
                <w:kern w:val="0"/>
                <w:highlight w:val="none"/>
                <w:lang w:val="en-US" w:eastAsia="zh-CN"/>
              </w:rPr>
              <w:t>项  目</w:t>
            </w:r>
          </w:p>
        </w:tc>
        <w:tc>
          <w:tcPr>
            <w:tcW w:w="2686" w:type="dxa"/>
            <w:vAlign w:val="center"/>
          </w:tcPr>
          <w:p w14:paraId="7C60B8AC">
            <w:pPr>
              <w:keepNext w:val="0"/>
              <w:keepLines w:val="0"/>
              <w:widowControl/>
              <w:suppressLineNumbers w:val="0"/>
              <w:spacing w:before="0" w:beforeAutospacing="0" w:after="0" w:afterAutospacing="0"/>
              <w:ind w:left="0" w:right="0" w:firstLine="210" w:firstLineChars="100"/>
              <w:jc w:val="center"/>
              <w:rPr>
                <w:rFonts w:hint="eastAsia" w:ascii="宋体" w:hAnsi="宋体"/>
                <w:kern w:val="0"/>
                <w:highlight w:val="none"/>
              </w:rPr>
            </w:pPr>
            <w:r>
              <w:rPr>
                <w:rFonts w:hint="eastAsia" w:ascii="宋体" w:hAnsi="宋体"/>
                <w:kern w:val="0"/>
                <w:highlight w:val="none"/>
                <w:lang w:val="en-US" w:eastAsia="zh-CN"/>
              </w:rPr>
              <w:t>期末余额</w:t>
            </w:r>
          </w:p>
        </w:tc>
        <w:tc>
          <w:tcPr>
            <w:tcW w:w="2950" w:type="dxa"/>
            <w:vAlign w:val="center"/>
          </w:tcPr>
          <w:p w14:paraId="372C8297">
            <w:pPr>
              <w:keepNext w:val="0"/>
              <w:keepLines w:val="0"/>
              <w:widowControl/>
              <w:suppressLineNumbers w:val="0"/>
              <w:spacing w:before="0" w:beforeAutospacing="0" w:after="0" w:afterAutospacing="0"/>
              <w:ind w:left="0" w:right="0" w:firstLine="210" w:firstLineChars="100"/>
              <w:jc w:val="center"/>
              <w:rPr>
                <w:rFonts w:hint="eastAsia" w:ascii="宋体" w:hAnsi="宋体"/>
                <w:kern w:val="0"/>
                <w:highlight w:val="none"/>
              </w:rPr>
            </w:pPr>
            <w:r>
              <w:rPr>
                <w:rFonts w:hint="eastAsia" w:ascii="宋体" w:hAnsi="宋体"/>
                <w:kern w:val="0"/>
                <w:highlight w:val="none"/>
                <w:lang w:val="en-US" w:eastAsia="zh-CN"/>
              </w:rPr>
              <w:t>上年年末余额</w:t>
            </w:r>
          </w:p>
        </w:tc>
      </w:tr>
      <w:tr w14:paraId="5D500B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2886" w:type="dxa"/>
            <w:vAlign w:val="center"/>
          </w:tcPr>
          <w:p w14:paraId="20DD991E">
            <w:pPr>
              <w:keepNext w:val="0"/>
              <w:keepLines w:val="0"/>
              <w:widowControl/>
              <w:suppressLineNumbers w:val="0"/>
              <w:spacing w:before="0" w:beforeAutospacing="0" w:after="0" w:afterAutospacing="0"/>
              <w:ind w:left="0" w:right="0" w:firstLine="210" w:firstLineChars="100"/>
              <w:rPr>
                <w:rFonts w:hint="eastAsia" w:ascii="宋体" w:hAnsi="宋体"/>
                <w:kern w:val="0"/>
                <w:highlight w:val="none"/>
              </w:rPr>
            </w:pPr>
            <w:r>
              <w:rPr>
                <w:rFonts w:hint="eastAsia" w:ascii="宋体" w:hAnsi="宋体"/>
                <w:kern w:val="0"/>
                <w:highlight w:val="none"/>
                <w:lang w:val="en-US" w:eastAsia="zh-CN"/>
              </w:rPr>
              <w:t>固定资产原值</w:t>
            </w:r>
          </w:p>
        </w:tc>
        <w:tc>
          <w:tcPr>
            <w:tcW w:w="2686" w:type="dxa"/>
            <w:vAlign w:val="center"/>
          </w:tcPr>
          <w:p w14:paraId="1E9832C0">
            <w:pPr>
              <w:keepNext w:val="0"/>
              <w:keepLines w:val="0"/>
              <w:widowControl/>
              <w:suppressLineNumbers w:val="0"/>
              <w:spacing w:before="0" w:beforeAutospacing="0" w:after="0" w:afterAutospacing="0"/>
              <w:ind w:left="0" w:right="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7,583,283.07</w:t>
            </w:r>
          </w:p>
        </w:tc>
        <w:tc>
          <w:tcPr>
            <w:tcW w:w="2950" w:type="dxa"/>
            <w:vAlign w:val="center"/>
          </w:tcPr>
          <w:p w14:paraId="41CEFF50">
            <w:pPr>
              <w:keepNext w:val="0"/>
              <w:keepLines w:val="0"/>
              <w:widowControl/>
              <w:suppressLineNumbers w:val="0"/>
              <w:spacing w:before="0" w:beforeAutospacing="0" w:after="0" w:afterAutospacing="0"/>
              <w:ind w:left="0" w:right="0" w:firstLine="200" w:firstLineChars="10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7,451,953.07</w:t>
            </w:r>
          </w:p>
        </w:tc>
      </w:tr>
      <w:tr w14:paraId="110F08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4" w:hRule="atLeast"/>
        </w:trPr>
        <w:tc>
          <w:tcPr>
            <w:tcW w:w="2886" w:type="dxa"/>
            <w:vAlign w:val="center"/>
          </w:tcPr>
          <w:p w14:paraId="61216DCC">
            <w:pPr>
              <w:keepNext w:val="0"/>
              <w:keepLines w:val="0"/>
              <w:widowControl/>
              <w:suppressLineNumbers w:val="0"/>
              <w:spacing w:before="0" w:beforeAutospacing="0" w:after="0" w:afterAutospacing="0"/>
              <w:ind w:left="0" w:right="0" w:firstLine="210" w:firstLineChars="100"/>
              <w:rPr>
                <w:rFonts w:hint="eastAsia" w:ascii="宋体" w:hAnsi="宋体"/>
                <w:kern w:val="0"/>
                <w:highlight w:val="none"/>
              </w:rPr>
            </w:pPr>
            <w:r>
              <w:rPr>
                <w:rFonts w:hint="eastAsia" w:ascii="宋体" w:hAnsi="宋体"/>
                <w:kern w:val="0"/>
                <w:highlight w:val="none"/>
                <w:lang w:val="en-US" w:eastAsia="zh-CN"/>
              </w:rPr>
              <w:t>累计折旧</w:t>
            </w:r>
          </w:p>
        </w:tc>
        <w:tc>
          <w:tcPr>
            <w:tcW w:w="2686" w:type="dxa"/>
            <w:vAlign w:val="center"/>
          </w:tcPr>
          <w:p w14:paraId="3CF6F653">
            <w:pPr>
              <w:keepNext w:val="0"/>
              <w:keepLines w:val="0"/>
              <w:widowControl/>
              <w:suppressLineNumbers w:val="0"/>
              <w:spacing w:before="0" w:beforeAutospacing="0" w:after="0" w:afterAutospacing="0"/>
              <w:ind w:left="0" w:right="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6,691,043.79</w:t>
            </w:r>
          </w:p>
        </w:tc>
        <w:tc>
          <w:tcPr>
            <w:tcW w:w="2950" w:type="dxa"/>
            <w:vAlign w:val="center"/>
          </w:tcPr>
          <w:p w14:paraId="383E3630">
            <w:pPr>
              <w:keepNext w:val="0"/>
              <w:keepLines w:val="0"/>
              <w:widowControl/>
              <w:suppressLineNumbers w:val="0"/>
              <w:spacing w:before="0" w:beforeAutospacing="0" w:after="0" w:afterAutospacing="0"/>
              <w:ind w:left="0" w:right="0" w:firstLine="200" w:firstLineChars="10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6,099,538.73</w:t>
            </w:r>
          </w:p>
        </w:tc>
      </w:tr>
      <w:tr w14:paraId="1CA0E0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15" w:hRule="atLeast"/>
        </w:trPr>
        <w:tc>
          <w:tcPr>
            <w:tcW w:w="2886" w:type="dxa"/>
            <w:vAlign w:val="center"/>
          </w:tcPr>
          <w:p w14:paraId="3FFEC262">
            <w:pPr>
              <w:keepNext w:val="0"/>
              <w:keepLines w:val="0"/>
              <w:widowControl/>
              <w:suppressLineNumbers w:val="0"/>
              <w:spacing w:before="0" w:beforeAutospacing="0" w:after="0" w:afterAutospacing="0"/>
              <w:ind w:left="0" w:right="0" w:firstLine="210" w:firstLineChars="100"/>
              <w:rPr>
                <w:rFonts w:hint="eastAsia" w:ascii="宋体" w:hAnsi="宋体"/>
                <w:kern w:val="0"/>
                <w:highlight w:val="none"/>
              </w:rPr>
            </w:pPr>
            <w:r>
              <w:rPr>
                <w:rFonts w:hint="eastAsia" w:ascii="宋体" w:hAnsi="宋体"/>
                <w:kern w:val="0"/>
                <w:highlight w:val="none"/>
                <w:lang w:val="en-US" w:eastAsia="zh-CN"/>
              </w:rPr>
              <w:t>固定资产减值准备</w:t>
            </w:r>
          </w:p>
        </w:tc>
        <w:tc>
          <w:tcPr>
            <w:tcW w:w="2686" w:type="dxa"/>
            <w:vAlign w:val="center"/>
          </w:tcPr>
          <w:p w14:paraId="495F6E9B">
            <w:pPr>
              <w:keepNext w:val="0"/>
              <w:keepLines w:val="0"/>
              <w:suppressLineNumbers w:val="0"/>
              <w:spacing w:before="0" w:beforeAutospacing="0" w:after="0" w:afterAutospacing="0"/>
              <w:ind w:left="0" w:right="0"/>
              <w:jc w:val="both"/>
              <w:rPr>
                <w:rFonts w:hint="eastAsia" w:ascii="宋体" w:hAnsi="宋体"/>
                <w:kern w:val="0"/>
                <w:highlight w:val="none"/>
              </w:rPr>
            </w:pPr>
          </w:p>
        </w:tc>
        <w:tc>
          <w:tcPr>
            <w:tcW w:w="2950" w:type="dxa"/>
            <w:vAlign w:val="center"/>
          </w:tcPr>
          <w:p w14:paraId="343FA2A1">
            <w:pPr>
              <w:keepNext w:val="0"/>
              <w:keepLines w:val="0"/>
              <w:suppressLineNumbers w:val="0"/>
              <w:spacing w:before="0" w:beforeAutospacing="0" w:after="0" w:afterAutospacing="0"/>
              <w:ind w:left="0" w:right="0"/>
              <w:jc w:val="both"/>
              <w:rPr>
                <w:rFonts w:hint="eastAsia" w:ascii="宋体" w:hAnsi="宋体"/>
                <w:kern w:val="0"/>
                <w:highlight w:val="none"/>
              </w:rPr>
            </w:pPr>
          </w:p>
        </w:tc>
      </w:tr>
      <w:tr w14:paraId="461A84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8" w:hRule="atLeast"/>
        </w:trPr>
        <w:tc>
          <w:tcPr>
            <w:tcW w:w="2886" w:type="dxa"/>
            <w:vAlign w:val="center"/>
          </w:tcPr>
          <w:p w14:paraId="70BF0201">
            <w:pPr>
              <w:keepNext w:val="0"/>
              <w:keepLines w:val="0"/>
              <w:widowControl/>
              <w:suppressLineNumbers w:val="0"/>
              <w:spacing w:before="0" w:beforeAutospacing="0" w:after="0" w:afterAutospacing="0"/>
              <w:ind w:left="0" w:right="0" w:firstLine="211" w:firstLineChars="100"/>
              <w:jc w:val="center"/>
              <w:rPr>
                <w:rFonts w:hint="eastAsia" w:ascii="宋体" w:hAnsi="宋体"/>
                <w:kern w:val="0"/>
                <w:highlight w:val="none"/>
              </w:rPr>
            </w:pPr>
            <w:r>
              <w:rPr>
                <w:rFonts w:hint="eastAsia" w:ascii="宋体" w:hAnsi="宋体" w:cs="宋体"/>
                <w:b/>
                <w:highlight w:val="none"/>
                <w:lang w:val="en-US" w:eastAsia="zh-CN"/>
              </w:rPr>
              <w:t>账面净值</w:t>
            </w:r>
          </w:p>
        </w:tc>
        <w:tc>
          <w:tcPr>
            <w:tcW w:w="2686" w:type="dxa"/>
            <w:vAlign w:val="center"/>
          </w:tcPr>
          <w:p w14:paraId="285C6692">
            <w:pPr>
              <w:keepNext w:val="0"/>
              <w:keepLines w:val="0"/>
              <w:widowControl/>
              <w:suppressLineNumbers w:val="0"/>
              <w:spacing w:before="0" w:beforeAutospacing="0" w:after="0" w:afterAutospacing="0"/>
              <w:ind w:left="0" w:right="0" w:firstLine="200" w:firstLineChars="10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892,239.28</w:t>
            </w:r>
          </w:p>
        </w:tc>
        <w:tc>
          <w:tcPr>
            <w:tcW w:w="2950" w:type="dxa"/>
            <w:vAlign w:val="center"/>
          </w:tcPr>
          <w:p w14:paraId="0E14BDA2">
            <w:pPr>
              <w:keepNext w:val="0"/>
              <w:keepLines w:val="0"/>
              <w:widowControl/>
              <w:suppressLineNumbers w:val="0"/>
              <w:spacing w:before="0" w:beforeAutospacing="0" w:after="0" w:afterAutospacing="0"/>
              <w:ind w:left="0" w:right="0" w:firstLine="200" w:firstLineChars="100"/>
              <w:jc w:val="right"/>
              <w:textAlignment w:val="center"/>
              <w:rPr>
                <w:rFonts w:hint="eastAsia" w:ascii="宋体" w:hAnsi="宋体"/>
                <w:kern w:val="0"/>
                <w:highlight w:val="none"/>
              </w:rPr>
            </w:pPr>
            <w:r>
              <w:rPr>
                <w:rFonts w:hint="eastAsia" w:ascii="宋体" w:hAnsi="宋体" w:eastAsia="宋体" w:cs="宋体"/>
                <w:i w:val="0"/>
                <w:iCs w:val="0"/>
                <w:color w:val="000000"/>
                <w:kern w:val="0"/>
                <w:sz w:val="20"/>
                <w:szCs w:val="20"/>
                <w:highlight w:val="none"/>
                <w:u w:val="none"/>
                <w:lang w:val="en-US" w:eastAsia="zh-CN" w:bidi="ar"/>
              </w:rPr>
              <w:t>1,352,414.34</w:t>
            </w:r>
          </w:p>
        </w:tc>
      </w:tr>
    </w:tbl>
    <w:p w14:paraId="1E6DBCA9">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固定资产明细</w:t>
      </w:r>
    </w:p>
    <w:p w14:paraId="5562A2DF">
      <w:pPr>
        <w:spacing w:line="480" w:lineRule="exact"/>
        <w:ind w:firstLine="480" w:firstLineChars="200"/>
        <w:rPr>
          <w:rFonts w:hint="eastAsia" w:ascii="宋体" w:hAnsi="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9"/>
        <w:gridCol w:w="1222"/>
        <w:gridCol w:w="1940"/>
        <w:gridCol w:w="2005"/>
        <w:gridCol w:w="1727"/>
        <w:gridCol w:w="1254"/>
        <w:gridCol w:w="1793"/>
        <w:gridCol w:w="2088"/>
      </w:tblGrid>
      <w:tr w14:paraId="2933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54" w:type="pct"/>
            <w:tcBorders>
              <w:top w:val="single" w:color="auto" w:sz="18" w:space="0"/>
              <w:left w:val="nil"/>
              <w:bottom w:val="dotted" w:color="auto" w:sz="6" w:space="0"/>
              <w:right w:val="dotted" w:color="auto" w:sz="6" w:space="0"/>
              <w:tl2br w:val="nil"/>
              <w:tr2bl w:val="nil"/>
            </w:tcBorders>
            <w:noWrap w:val="0"/>
            <w:vAlign w:val="top"/>
          </w:tcPr>
          <w:p w14:paraId="1F7BB2AB">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项   目</w:t>
            </w:r>
          </w:p>
        </w:tc>
        <w:tc>
          <w:tcPr>
            <w:tcW w:w="431" w:type="pct"/>
            <w:tcBorders>
              <w:top w:val="single" w:color="auto" w:sz="18" w:space="0"/>
              <w:left w:val="nil"/>
              <w:bottom w:val="dotted" w:color="auto" w:sz="6" w:space="0"/>
              <w:right w:val="dotted" w:color="auto" w:sz="6" w:space="0"/>
              <w:tl2br w:val="nil"/>
              <w:tr2bl w:val="nil"/>
            </w:tcBorders>
            <w:noWrap w:val="0"/>
            <w:vAlign w:val="top"/>
          </w:tcPr>
          <w:p w14:paraId="6B023000">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房屋及建筑物</w:t>
            </w:r>
          </w:p>
        </w:tc>
        <w:tc>
          <w:tcPr>
            <w:tcW w:w="684" w:type="pct"/>
            <w:tcBorders>
              <w:top w:val="single" w:color="auto" w:sz="18" w:space="0"/>
              <w:left w:val="nil"/>
              <w:bottom w:val="dotted" w:color="auto" w:sz="6" w:space="0"/>
              <w:right w:val="dotted" w:color="auto" w:sz="6" w:space="0"/>
              <w:tl2br w:val="nil"/>
              <w:tr2bl w:val="nil"/>
            </w:tcBorders>
            <w:noWrap w:val="0"/>
            <w:vAlign w:val="top"/>
          </w:tcPr>
          <w:p w14:paraId="394A96BD">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交通工具</w:t>
            </w:r>
          </w:p>
        </w:tc>
        <w:tc>
          <w:tcPr>
            <w:tcW w:w="707" w:type="pct"/>
            <w:tcBorders>
              <w:top w:val="single" w:color="auto" w:sz="18" w:space="0"/>
              <w:left w:val="nil"/>
              <w:bottom w:val="dotted" w:color="auto" w:sz="6" w:space="0"/>
              <w:right w:val="dotted" w:color="auto" w:sz="6" w:space="0"/>
              <w:tl2br w:val="nil"/>
              <w:tr2bl w:val="nil"/>
            </w:tcBorders>
            <w:noWrap w:val="0"/>
            <w:vAlign w:val="top"/>
          </w:tcPr>
          <w:p w14:paraId="7561F41A">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电子设备</w:t>
            </w:r>
          </w:p>
        </w:tc>
        <w:tc>
          <w:tcPr>
            <w:tcW w:w="609" w:type="pct"/>
            <w:tcBorders>
              <w:top w:val="single" w:color="auto" w:sz="18" w:space="0"/>
              <w:left w:val="nil"/>
              <w:bottom w:val="dotted" w:color="auto" w:sz="6" w:space="0"/>
              <w:right w:val="dotted" w:color="auto" w:sz="6" w:space="0"/>
              <w:tl2br w:val="nil"/>
              <w:tr2bl w:val="nil"/>
            </w:tcBorders>
            <w:noWrap w:val="0"/>
            <w:vAlign w:val="top"/>
          </w:tcPr>
          <w:p w14:paraId="66AD76B6">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机器设备</w:t>
            </w:r>
          </w:p>
        </w:tc>
        <w:tc>
          <w:tcPr>
            <w:tcW w:w="442" w:type="pct"/>
            <w:tcBorders>
              <w:top w:val="single" w:color="auto" w:sz="18" w:space="0"/>
              <w:left w:val="nil"/>
              <w:bottom w:val="dotted" w:color="auto" w:sz="6" w:space="0"/>
              <w:right w:val="dotted" w:color="auto" w:sz="6" w:space="0"/>
              <w:tl2br w:val="nil"/>
              <w:tr2bl w:val="nil"/>
            </w:tcBorders>
            <w:noWrap w:val="0"/>
            <w:vAlign w:val="top"/>
          </w:tcPr>
          <w:p w14:paraId="31F1FDB2">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家具</w:t>
            </w:r>
          </w:p>
        </w:tc>
        <w:tc>
          <w:tcPr>
            <w:tcW w:w="632" w:type="pct"/>
            <w:tcBorders>
              <w:top w:val="single" w:color="auto" w:sz="18" w:space="0"/>
              <w:left w:val="nil"/>
              <w:bottom w:val="dotted" w:color="auto" w:sz="6" w:space="0"/>
              <w:right w:val="dotted" w:color="auto" w:sz="6" w:space="0"/>
              <w:tl2br w:val="nil"/>
              <w:tr2bl w:val="nil"/>
            </w:tcBorders>
            <w:noWrap w:val="0"/>
            <w:vAlign w:val="top"/>
          </w:tcPr>
          <w:p w14:paraId="59268A6F">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其他固定资产</w:t>
            </w:r>
          </w:p>
        </w:tc>
        <w:tc>
          <w:tcPr>
            <w:tcW w:w="736" w:type="pct"/>
            <w:tcBorders>
              <w:top w:val="single" w:color="auto" w:sz="18" w:space="0"/>
              <w:left w:val="nil"/>
              <w:bottom w:val="dotted" w:color="auto" w:sz="6" w:space="0"/>
              <w:right w:val="nil"/>
              <w:tl2br w:val="nil"/>
              <w:tr2bl w:val="nil"/>
            </w:tcBorders>
            <w:noWrap w:val="0"/>
            <w:vAlign w:val="top"/>
          </w:tcPr>
          <w:p w14:paraId="549D5B2F">
            <w:pPr>
              <w:keepNext w:val="0"/>
              <w:keepLines w:val="0"/>
              <w:suppressLineNumbers w:val="0"/>
              <w:spacing w:before="0" w:beforeLines="0" w:beforeAutospacing="0" w:after="0" w:afterLines="0" w:afterAutospacing="0"/>
              <w:ind w:left="0" w:right="0"/>
              <w:jc w:val="center"/>
              <w:rPr>
                <w:rFonts w:hint="eastAsia" w:ascii="宋体" w:hAnsi="宋体"/>
                <w:color w:val="000000"/>
                <w:sz w:val="18"/>
                <w:szCs w:val="24"/>
                <w:highlight w:val="none"/>
              </w:rPr>
            </w:pPr>
            <w:r>
              <w:rPr>
                <w:rFonts w:hint="eastAsia" w:ascii="宋体" w:hAnsi="宋体"/>
                <w:color w:val="000000"/>
                <w:sz w:val="18"/>
                <w:szCs w:val="24"/>
                <w:highlight w:val="none"/>
              </w:rPr>
              <w:t>合  计</w:t>
            </w:r>
          </w:p>
        </w:tc>
      </w:tr>
      <w:tr w14:paraId="5586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730A7A01">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一、账面原值</w:t>
            </w:r>
          </w:p>
        </w:tc>
        <w:tc>
          <w:tcPr>
            <w:tcW w:w="1222" w:type="dxa"/>
            <w:tcBorders>
              <w:top w:val="nil"/>
              <w:left w:val="nil"/>
              <w:bottom w:val="dotted" w:color="auto" w:sz="6" w:space="0"/>
              <w:right w:val="dotted" w:color="auto" w:sz="6" w:space="0"/>
              <w:tl2br w:val="nil"/>
              <w:tr2bl w:val="nil"/>
            </w:tcBorders>
            <w:noWrap w:val="0"/>
            <w:vAlign w:val="top"/>
          </w:tcPr>
          <w:p w14:paraId="23283FB8">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603E13D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5459AEE3">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23B550D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4E85D1ED">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0FF13290">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29648BBA">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r>
      <w:tr w14:paraId="6E32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7BFA3DDF">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1、上年年末余额</w:t>
            </w:r>
          </w:p>
        </w:tc>
        <w:tc>
          <w:tcPr>
            <w:tcW w:w="1222" w:type="dxa"/>
            <w:tcBorders>
              <w:top w:val="nil"/>
              <w:left w:val="nil"/>
              <w:bottom w:val="dotted" w:color="auto" w:sz="6" w:space="0"/>
              <w:right w:val="dotted" w:color="auto" w:sz="6" w:space="0"/>
              <w:tl2br w:val="nil"/>
              <w:tr2bl w:val="nil"/>
            </w:tcBorders>
            <w:noWrap w:val="0"/>
            <w:vAlign w:val="top"/>
          </w:tcPr>
          <w:p w14:paraId="3B561A0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114FBD9B">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225,100.89</w:t>
            </w:r>
          </w:p>
        </w:tc>
        <w:tc>
          <w:tcPr>
            <w:tcW w:w="2005" w:type="dxa"/>
            <w:tcBorders>
              <w:top w:val="nil"/>
              <w:left w:val="nil"/>
              <w:bottom w:val="dotted" w:color="auto" w:sz="6" w:space="0"/>
              <w:right w:val="dotted" w:color="auto" w:sz="6" w:space="0"/>
              <w:tl2br w:val="nil"/>
              <w:tr2bl w:val="nil"/>
            </w:tcBorders>
            <w:noWrap w:val="0"/>
            <w:vAlign w:val="top"/>
          </w:tcPr>
          <w:p w14:paraId="5D95D94E">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4,013,850.24</w:t>
            </w:r>
          </w:p>
        </w:tc>
        <w:tc>
          <w:tcPr>
            <w:tcW w:w="1727" w:type="dxa"/>
            <w:tcBorders>
              <w:top w:val="nil"/>
              <w:left w:val="nil"/>
              <w:bottom w:val="dotted" w:color="auto" w:sz="6" w:space="0"/>
              <w:right w:val="dotted" w:color="auto" w:sz="6" w:space="0"/>
              <w:tl2br w:val="nil"/>
              <w:tr2bl w:val="nil"/>
            </w:tcBorders>
            <w:noWrap w:val="0"/>
            <w:vAlign w:val="top"/>
          </w:tcPr>
          <w:p w14:paraId="46477108">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2,674,966.82</w:t>
            </w:r>
          </w:p>
        </w:tc>
        <w:tc>
          <w:tcPr>
            <w:tcW w:w="1254" w:type="dxa"/>
            <w:tcBorders>
              <w:top w:val="nil"/>
              <w:left w:val="nil"/>
              <w:bottom w:val="dotted" w:color="auto" w:sz="6" w:space="0"/>
              <w:right w:val="dotted" w:color="auto" w:sz="6" w:space="0"/>
              <w:tl2br w:val="nil"/>
              <w:tr2bl w:val="nil"/>
            </w:tcBorders>
            <w:noWrap w:val="0"/>
            <w:vAlign w:val="top"/>
          </w:tcPr>
          <w:p w14:paraId="6B418A16">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64390DDC">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538,035.12</w:t>
            </w:r>
          </w:p>
        </w:tc>
        <w:tc>
          <w:tcPr>
            <w:tcW w:w="2088" w:type="dxa"/>
            <w:tcBorders>
              <w:top w:val="nil"/>
              <w:left w:val="nil"/>
              <w:bottom w:val="dotted" w:color="auto" w:sz="6" w:space="0"/>
              <w:right w:val="nil"/>
              <w:tl2br w:val="nil"/>
              <w:tr2bl w:val="nil"/>
            </w:tcBorders>
            <w:noWrap w:val="0"/>
            <w:vAlign w:val="top"/>
          </w:tcPr>
          <w:p w14:paraId="110A5617">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7,451,953.07</w:t>
            </w:r>
          </w:p>
        </w:tc>
      </w:tr>
      <w:tr w14:paraId="045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1D6F5358">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2、本期增加金额</w:t>
            </w:r>
          </w:p>
        </w:tc>
        <w:tc>
          <w:tcPr>
            <w:tcW w:w="1222" w:type="dxa"/>
            <w:tcBorders>
              <w:top w:val="nil"/>
              <w:left w:val="nil"/>
              <w:bottom w:val="dotted" w:color="auto" w:sz="6" w:space="0"/>
              <w:right w:val="dotted" w:color="auto" w:sz="6" w:space="0"/>
              <w:tl2br w:val="nil"/>
              <w:tr2bl w:val="nil"/>
            </w:tcBorders>
            <w:noWrap w:val="0"/>
            <w:vAlign w:val="top"/>
          </w:tcPr>
          <w:p w14:paraId="0675173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C06556D">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CF039B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0462BABD">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118,660.00</w:t>
            </w:r>
          </w:p>
        </w:tc>
        <w:tc>
          <w:tcPr>
            <w:tcW w:w="1254" w:type="dxa"/>
            <w:tcBorders>
              <w:top w:val="nil"/>
              <w:left w:val="nil"/>
              <w:bottom w:val="dotted" w:color="auto" w:sz="6" w:space="0"/>
              <w:right w:val="dotted" w:color="auto" w:sz="6" w:space="0"/>
              <w:tl2br w:val="nil"/>
              <w:tr2bl w:val="nil"/>
            </w:tcBorders>
            <w:noWrap w:val="0"/>
            <w:vAlign w:val="top"/>
          </w:tcPr>
          <w:p w14:paraId="4D03DB2F">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6F9AF61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12,670.00</w:t>
            </w:r>
          </w:p>
        </w:tc>
        <w:tc>
          <w:tcPr>
            <w:tcW w:w="2088" w:type="dxa"/>
            <w:tcBorders>
              <w:top w:val="nil"/>
              <w:left w:val="nil"/>
              <w:bottom w:val="dotted" w:color="auto" w:sz="6" w:space="0"/>
              <w:right w:val="nil"/>
              <w:tl2br w:val="nil"/>
              <w:tr2bl w:val="nil"/>
            </w:tcBorders>
            <w:noWrap w:val="0"/>
            <w:vAlign w:val="top"/>
          </w:tcPr>
          <w:p w14:paraId="6C858439">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131,330.00</w:t>
            </w:r>
          </w:p>
        </w:tc>
      </w:tr>
      <w:tr w14:paraId="0F1C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117D5A2B">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（1）购置</w:t>
            </w:r>
          </w:p>
        </w:tc>
        <w:tc>
          <w:tcPr>
            <w:tcW w:w="1222" w:type="dxa"/>
            <w:tcBorders>
              <w:top w:val="nil"/>
              <w:left w:val="nil"/>
              <w:bottom w:val="dotted" w:color="auto" w:sz="6" w:space="0"/>
              <w:right w:val="dotted" w:color="auto" w:sz="6" w:space="0"/>
              <w:tl2br w:val="nil"/>
              <w:tr2bl w:val="nil"/>
            </w:tcBorders>
            <w:noWrap w:val="0"/>
            <w:vAlign w:val="top"/>
          </w:tcPr>
          <w:p w14:paraId="359BBEAD">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043008ED">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0E47375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14C87B3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118,660.00</w:t>
            </w:r>
          </w:p>
        </w:tc>
        <w:tc>
          <w:tcPr>
            <w:tcW w:w="1254" w:type="dxa"/>
            <w:tcBorders>
              <w:top w:val="nil"/>
              <w:left w:val="nil"/>
              <w:bottom w:val="dotted" w:color="auto" w:sz="6" w:space="0"/>
              <w:right w:val="dotted" w:color="auto" w:sz="6" w:space="0"/>
              <w:tl2br w:val="nil"/>
              <w:tr2bl w:val="nil"/>
            </w:tcBorders>
            <w:noWrap w:val="0"/>
            <w:vAlign w:val="top"/>
          </w:tcPr>
          <w:p w14:paraId="592EAEC6">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3A81E094">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12,670.00</w:t>
            </w:r>
          </w:p>
        </w:tc>
        <w:tc>
          <w:tcPr>
            <w:tcW w:w="2088" w:type="dxa"/>
            <w:tcBorders>
              <w:top w:val="nil"/>
              <w:left w:val="nil"/>
              <w:bottom w:val="dotted" w:color="auto" w:sz="6" w:space="0"/>
              <w:right w:val="nil"/>
              <w:tl2br w:val="nil"/>
              <w:tr2bl w:val="nil"/>
            </w:tcBorders>
            <w:noWrap w:val="0"/>
            <w:vAlign w:val="top"/>
          </w:tcPr>
          <w:p w14:paraId="17C21B27">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131,330.00</w:t>
            </w:r>
          </w:p>
        </w:tc>
      </w:tr>
      <w:tr w14:paraId="1CB3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6415BCF8">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（2）在建工程转入</w:t>
            </w:r>
          </w:p>
        </w:tc>
        <w:tc>
          <w:tcPr>
            <w:tcW w:w="1222" w:type="dxa"/>
            <w:tcBorders>
              <w:top w:val="nil"/>
              <w:left w:val="nil"/>
              <w:bottom w:val="dotted" w:color="auto" w:sz="6" w:space="0"/>
              <w:right w:val="dotted" w:color="auto" w:sz="6" w:space="0"/>
              <w:tl2br w:val="nil"/>
              <w:tr2bl w:val="nil"/>
            </w:tcBorders>
            <w:noWrap w:val="0"/>
            <w:vAlign w:val="top"/>
          </w:tcPr>
          <w:p w14:paraId="02101BD8">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38DE5F2D">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596B0F2">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4168CB72">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612F3919">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7340F86D">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649BD25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7760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4DFCCA0C">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3、本期减少金额</w:t>
            </w:r>
          </w:p>
        </w:tc>
        <w:tc>
          <w:tcPr>
            <w:tcW w:w="1222" w:type="dxa"/>
            <w:tcBorders>
              <w:top w:val="nil"/>
              <w:left w:val="nil"/>
              <w:bottom w:val="dotted" w:color="auto" w:sz="6" w:space="0"/>
              <w:right w:val="dotted" w:color="auto" w:sz="6" w:space="0"/>
              <w:tl2br w:val="nil"/>
              <w:tr2bl w:val="nil"/>
            </w:tcBorders>
            <w:noWrap w:val="0"/>
            <w:vAlign w:val="top"/>
          </w:tcPr>
          <w:p w14:paraId="29DDE8D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325DE7C">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1DAFF392">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0AF02708">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12059D61">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01BB166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37F5DAC2">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19FF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3A348F05">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（1）处置或报废</w:t>
            </w:r>
          </w:p>
        </w:tc>
        <w:tc>
          <w:tcPr>
            <w:tcW w:w="1222" w:type="dxa"/>
            <w:tcBorders>
              <w:top w:val="nil"/>
              <w:left w:val="nil"/>
              <w:bottom w:val="dotted" w:color="auto" w:sz="6" w:space="0"/>
              <w:right w:val="dotted" w:color="auto" w:sz="6" w:space="0"/>
              <w:tl2br w:val="nil"/>
              <w:tr2bl w:val="nil"/>
            </w:tcBorders>
            <w:noWrap w:val="0"/>
            <w:vAlign w:val="top"/>
          </w:tcPr>
          <w:p w14:paraId="2A280D5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73D4E9B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13D4233E">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570CB8F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1FF9713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6F5F4432">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581E4ED7">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3F2C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3D8E64ED">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4、期末余额</w:t>
            </w:r>
          </w:p>
        </w:tc>
        <w:tc>
          <w:tcPr>
            <w:tcW w:w="1222" w:type="dxa"/>
            <w:tcBorders>
              <w:top w:val="nil"/>
              <w:left w:val="nil"/>
              <w:bottom w:val="dotted" w:color="auto" w:sz="6" w:space="0"/>
              <w:right w:val="dotted" w:color="auto" w:sz="6" w:space="0"/>
              <w:tl2br w:val="nil"/>
              <w:tr2bl w:val="nil"/>
            </w:tcBorders>
            <w:noWrap w:val="0"/>
            <w:vAlign w:val="top"/>
          </w:tcPr>
          <w:p w14:paraId="57CA4F28">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5880D531">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225,100.89</w:t>
            </w:r>
          </w:p>
        </w:tc>
        <w:tc>
          <w:tcPr>
            <w:tcW w:w="2005" w:type="dxa"/>
            <w:tcBorders>
              <w:top w:val="nil"/>
              <w:left w:val="nil"/>
              <w:bottom w:val="dotted" w:color="auto" w:sz="6" w:space="0"/>
              <w:right w:val="dotted" w:color="auto" w:sz="6" w:space="0"/>
              <w:tl2br w:val="nil"/>
              <w:tr2bl w:val="nil"/>
            </w:tcBorders>
            <w:noWrap w:val="0"/>
            <w:vAlign w:val="top"/>
          </w:tcPr>
          <w:p w14:paraId="717790B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4,013,850.24</w:t>
            </w:r>
          </w:p>
        </w:tc>
        <w:tc>
          <w:tcPr>
            <w:tcW w:w="1727" w:type="dxa"/>
            <w:tcBorders>
              <w:top w:val="nil"/>
              <w:left w:val="nil"/>
              <w:bottom w:val="dotted" w:color="auto" w:sz="6" w:space="0"/>
              <w:right w:val="dotted" w:color="auto" w:sz="6" w:space="0"/>
              <w:tl2br w:val="nil"/>
              <w:tr2bl w:val="nil"/>
            </w:tcBorders>
            <w:noWrap w:val="0"/>
            <w:vAlign w:val="top"/>
          </w:tcPr>
          <w:p w14:paraId="3F5E431B">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2,793,626.82</w:t>
            </w:r>
          </w:p>
        </w:tc>
        <w:tc>
          <w:tcPr>
            <w:tcW w:w="1254" w:type="dxa"/>
            <w:tcBorders>
              <w:top w:val="nil"/>
              <w:left w:val="nil"/>
              <w:bottom w:val="dotted" w:color="auto" w:sz="6" w:space="0"/>
              <w:right w:val="dotted" w:color="auto" w:sz="6" w:space="0"/>
              <w:tl2br w:val="nil"/>
              <w:tr2bl w:val="nil"/>
            </w:tcBorders>
            <w:noWrap w:val="0"/>
            <w:vAlign w:val="top"/>
          </w:tcPr>
          <w:p w14:paraId="2130F68B">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61666FEB">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550,705.12</w:t>
            </w:r>
          </w:p>
        </w:tc>
        <w:tc>
          <w:tcPr>
            <w:tcW w:w="2088" w:type="dxa"/>
            <w:tcBorders>
              <w:top w:val="nil"/>
              <w:left w:val="nil"/>
              <w:bottom w:val="dotted" w:color="auto" w:sz="6" w:space="0"/>
              <w:right w:val="nil"/>
              <w:tl2br w:val="nil"/>
              <w:tr2bl w:val="nil"/>
            </w:tcBorders>
            <w:noWrap w:val="0"/>
            <w:vAlign w:val="top"/>
          </w:tcPr>
          <w:p w14:paraId="16772ED9">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7,583,283.07</w:t>
            </w:r>
          </w:p>
        </w:tc>
      </w:tr>
      <w:tr w14:paraId="38A0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4EF62959">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二、累计折旧</w:t>
            </w:r>
          </w:p>
        </w:tc>
        <w:tc>
          <w:tcPr>
            <w:tcW w:w="1222" w:type="dxa"/>
            <w:tcBorders>
              <w:top w:val="nil"/>
              <w:left w:val="nil"/>
              <w:bottom w:val="dotted" w:color="auto" w:sz="6" w:space="0"/>
              <w:right w:val="dotted" w:color="auto" w:sz="6" w:space="0"/>
              <w:tl2br w:val="nil"/>
              <w:tr2bl w:val="nil"/>
            </w:tcBorders>
            <w:noWrap w:val="0"/>
            <w:vAlign w:val="top"/>
          </w:tcPr>
          <w:p w14:paraId="65F83724">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740BB559">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698820F">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465E5EC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56977980">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28C7269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0E8345E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0</w:t>
            </w:r>
          </w:p>
        </w:tc>
      </w:tr>
      <w:tr w14:paraId="28A8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27959804">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1、上年年末余额</w:t>
            </w:r>
          </w:p>
        </w:tc>
        <w:tc>
          <w:tcPr>
            <w:tcW w:w="1222" w:type="dxa"/>
            <w:tcBorders>
              <w:top w:val="nil"/>
              <w:left w:val="nil"/>
              <w:bottom w:val="dotted" w:color="auto" w:sz="6" w:space="0"/>
              <w:right w:val="dotted" w:color="auto" w:sz="6" w:space="0"/>
              <w:tl2br w:val="nil"/>
              <w:tr2bl w:val="nil"/>
            </w:tcBorders>
            <w:noWrap w:val="0"/>
            <w:vAlign w:val="top"/>
          </w:tcPr>
          <w:p w14:paraId="3CFCDA76">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49220F08">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149,692.05</w:t>
            </w:r>
          </w:p>
        </w:tc>
        <w:tc>
          <w:tcPr>
            <w:tcW w:w="2005" w:type="dxa"/>
            <w:tcBorders>
              <w:top w:val="nil"/>
              <w:left w:val="nil"/>
              <w:bottom w:val="dotted" w:color="auto" w:sz="6" w:space="0"/>
              <w:right w:val="dotted" w:color="auto" w:sz="6" w:space="0"/>
              <w:tl2br w:val="nil"/>
              <w:tr2bl w:val="nil"/>
            </w:tcBorders>
            <w:noWrap w:val="0"/>
            <w:vAlign w:val="top"/>
          </w:tcPr>
          <w:p w14:paraId="22275A9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3,398,885.33</w:t>
            </w:r>
          </w:p>
        </w:tc>
        <w:tc>
          <w:tcPr>
            <w:tcW w:w="1727" w:type="dxa"/>
            <w:tcBorders>
              <w:top w:val="nil"/>
              <w:left w:val="nil"/>
              <w:bottom w:val="dotted" w:color="auto" w:sz="6" w:space="0"/>
              <w:right w:val="dotted" w:color="auto" w:sz="6" w:space="0"/>
              <w:tl2br w:val="nil"/>
              <w:tr2bl w:val="nil"/>
            </w:tcBorders>
            <w:noWrap w:val="0"/>
            <w:vAlign w:val="top"/>
          </w:tcPr>
          <w:p w14:paraId="20E6D8E2">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2,078,795.17</w:t>
            </w:r>
          </w:p>
        </w:tc>
        <w:tc>
          <w:tcPr>
            <w:tcW w:w="1254" w:type="dxa"/>
            <w:tcBorders>
              <w:top w:val="nil"/>
              <w:left w:val="nil"/>
              <w:bottom w:val="dotted" w:color="auto" w:sz="6" w:space="0"/>
              <w:right w:val="dotted" w:color="auto" w:sz="6" w:space="0"/>
              <w:tl2br w:val="nil"/>
              <w:tr2bl w:val="nil"/>
            </w:tcBorders>
            <w:noWrap w:val="0"/>
            <w:vAlign w:val="top"/>
          </w:tcPr>
          <w:p w14:paraId="1473930A">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294EC6E7">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472,166.18</w:t>
            </w:r>
          </w:p>
        </w:tc>
        <w:tc>
          <w:tcPr>
            <w:tcW w:w="2088" w:type="dxa"/>
            <w:tcBorders>
              <w:top w:val="nil"/>
              <w:left w:val="nil"/>
              <w:bottom w:val="dotted" w:color="auto" w:sz="6" w:space="0"/>
              <w:right w:val="nil"/>
              <w:tl2br w:val="nil"/>
              <w:tr2bl w:val="nil"/>
            </w:tcBorders>
            <w:noWrap w:val="0"/>
            <w:vAlign w:val="top"/>
          </w:tcPr>
          <w:p w14:paraId="6B28A7B7">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6,099,538.73</w:t>
            </w:r>
          </w:p>
        </w:tc>
      </w:tr>
      <w:tr w14:paraId="21BE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3D9C072A">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2、本期增加金额</w:t>
            </w:r>
          </w:p>
        </w:tc>
        <w:tc>
          <w:tcPr>
            <w:tcW w:w="1222" w:type="dxa"/>
            <w:tcBorders>
              <w:top w:val="nil"/>
              <w:left w:val="nil"/>
              <w:bottom w:val="dotted" w:color="auto" w:sz="6" w:space="0"/>
              <w:right w:val="dotted" w:color="auto" w:sz="6" w:space="0"/>
              <w:tl2br w:val="nil"/>
              <w:tr2bl w:val="nil"/>
            </w:tcBorders>
            <w:noWrap w:val="0"/>
            <w:vAlign w:val="top"/>
          </w:tcPr>
          <w:p w14:paraId="233BA4D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4B8E151B">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42,769.20</w:t>
            </w:r>
          </w:p>
        </w:tc>
        <w:tc>
          <w:tcPr>
            <w:tcW w:w="2005" w:type="dxa"/>
            <w:tcBorders>
              <w:top w:val="nil"/>
              <w:left w:val="nil"/>
              <w:bottom w:val="dotted" w:color="auto" w:sz="6" w:space="0"/>
              <w:right w:val="dotted" w:color="auto" w:sz="6" w:space="0"/>
              <w:tl2br w:val="nil"/>
              <w:tr2bl w:val="nil"/>
            </w:tcBorders>
            <w:noWrap w:val="0"/>
            <w:vAlign w:val="top"/>
          </w:tcPr>
          <w:p w14:paraId="5C3F558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350,713.02</w:t>
            </w:r>
          </w:p>
        </w:tc>
        <w:tc>
          <w:tcPr>
            <w:tcW w:w="1727" w:type="dxa"/>
            <w:tcBorders>
              <w:top w:val="nil"/>
              <w:left w:val="nil"/>
              <w:bottom w:val="dotted" w:color="auto" w:sz="6" w:space="0"/>
              <w:right w:val="dotted" w:color="auto" w:sz="6" w:space="0"/>
              <w:tl2br w:val="nil"/>
              <w:tr2bl w:val="nil"/>
            </w:tcBorders>
            <w:noWrap w:val="0"/>
            <w:vAlign w:val="top"/>
          </w:tcPr>
          <w:p w14:paraId="4A69D5DC">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166,888.91</w:t>
            </w:r>
          </w:p>
        </w:tc>
        <w:tc>
          <w:tcPr>
            <w:tcW w:w="1254" w:type="dxa"/>
            <w:tcBorders>
              <w:top w:val="nil"/>
              <w:left w:val="nil"/>
              <w:bottom w:val="dotted" w:color="auto" w:sz="6" w:space="0"/>
              <w:right w:val="dotted" w:color="auto" w:sz="6" w:space="0"/>
              <w:tl2br w:val="nil"/>
              <w:tr2bl w:val="nil"/>
            </w:tcBorders>
            <w:noWrap w:val="0"/>
            <w:vAlign w:val="top"/>
          </w:tcPr>
          <w:p w14:paraId="68B0C79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06DDDB0F">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31,133.93</w:t>
            </w:r>
          </w:p>
        </w:tc>
        <w:tc>
          <w:tcPr>
            <w:tcW w:w="2088" w:type="dxa"/>
            <w:tcBorders>
              <w:top w:val="nil"/>
              <w:left w:val="nil"/>
              <w:bottom w:val="dotted" w:color="auto" w:sz="6" w:space="0"/>
              <w:right w:val="nil"/>
              <w:tl2br w:val="nil"/>
              <w:tr2bl w:val="nil"/>
            </w:tcBorders>
            <w:noWrap w:val="0"/>
            <w:vAlign w:val="top"/>
          </w:tcPr>
          <w:p w14:paraId="6663DF4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591,505.06</w:t>
            </w:r>
          </w:p>
        </w:tc>
      </w:tr>
      <w:tr w14:paraId="3BFD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7E386B45">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（1）计提</w:t>
            </w:r>
          </w:p>
        </w:tc>
        <w:tc>
          <w:tcPr>
            <w:tcW w:w="1222" w:type="dxa"/>
            <w:tcBorders>
              <w:top w:val="nil"/>
              <w:left w:val="nil"/>
              <w:bottom w:val="dotted" w:color="auto" w:sz="6" w:space="0"/>
              <w:right w:val="dotted" w:color="auto" w:sz="6" w:space="0"/>
              <w:tl2br w:val="nil"/>
              <w:tr2bl w:val="nil"/>
            </w:tcBorders>
            <w:noWrap w:val="0"/>
            <w:vAlign w:val="top"/>
          </w:tcPr>
          <w:p w14:paraId="5714DC0B">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C7FCEA2">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42,769.20</w:t>
            </w:r>
          </w:p>
        </w:tc>
        <w:tc>
          <w:tcPr>
            <w:tcW w:w="2005" w:type="dxa"/>
            <w:tcBorders>
              <w:top w:val="nil"/>
              <w:left w:val="nil"/>
              <w:bottom w:val="dotted" w:color="auto" w:sz="6" w:space="0"/>
              <w:right w:val="dotted" w:color="auto" w:sz="6" w:space="0"/>
              <w:tl2br w:val="nil"/>
              <w:tr2bl w:val="nil"/>
            </w:tcBorders>
            <w:noWrap w:val="0"/>
            <w:vAlign w:val="top"/>
          </w:tcPr>
          <w:p w14:paraId="465EBF3C">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350,713.02</w:t>
            </w:r>
          </w:p>
        </w:tc>
        <w:tc>
          <w:tcPr>
            <w:tcW w:w="1727" w:type="dxa"/>
            <w:tcBorders>
              <w:top w:val="nil"/>
              <w:left w:val="nil"/>
              <w:bottom w:val="dotted" w:color="auto" w:sz="6" w:space="0"/>
              <w:right w:val="dotted" w:color="auto" w:sz="6" w:space="0"/>
              <w:tl2br w:val="nil"/>
              <w:tr2bl w:val="nil"/>
            </w:tcBorders>
            <w:noWrap w:val="0"/>
            <w:vAlign w:val="top"/>
          </w:tcPr>
          <w:p w14:paraId="25212B43">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166,888.91</w:t>
            </w:r>
          </w:p>
        </w:tc>
        <w:tc>
          <w:tcPr>
            <w:tcW w:w="1254" w:type="dxa"/>
            <w:tcBorders>
              <w:top w:val="nil"/>
              <w:left w:val="nil"/>
              <w:bottom w:val="dotted" w:color="auto" w:sz="6" w:space="0"/>
              <w:right w:val="dotted" w:color="auto" w:sz="6" w:space="0"/>
              <w:tl2br w:val="nil"/>
              <w:tr2bl w:val="nil"/>
            </w:tcBorders>
            <w:noWrap w:val="0"/>
            <w:vAlign w:val="top"/>
          </w:tcPr>
          <w:p w14:paraId="385F9288">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689A03D5">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31,133.93</w:t>
            </w:r>
          </w:p>
        </w:tc>
        <w:tc>
          <w:tcPr>
            <w:tcW w:w="2088" w:type="dxa"/>
            <w:tcBorders>
              <w:top w:val="nil"/>
              <w:left w:val="nil"/>
              <w:bottom w:val="dotted" w:color="auto" w:sz="6" w:space="0"/>
              <w:right w:val="nil"/>
              <w:tl2br w:val="nil"/>
              <w:tr2bl w:val="nil"/>
            </w:tcBorders>
            <w:noWrap w:val="0"/>
            <w:vAlign w:val="top"/>
          </w:tcPr>
          <w:p w14:paraId="2833E8AE">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591,505.06</w:t>
            </w:r>
          </w:p>
        </w:tc>
      </w:tr>
      <w:tr w14:paraId="3934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46EAE1C8">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3、本期减少金额</w:t>
            </w:r>
          </w:p>
        </w:tc>
        <w:tc>
          <w:tcPr>
            <w:tcW w:w="1222" w:type="dxa"/>
            <w:tcBorders>
              <w:top w:val="nil"/>
              <w:left w:val="nil"/>
              <w:bottom w:val="dotted" w:color="auto" w:sz="6" w:space="0"/>
              <w:right w:val="dotted" w:color="auto" w:sz="6" w:space="0"/>
              <w:tl2br w:val="nil"/>
              <w:tr2bl w:val="nil"/>
            </w:tcBorders>
            <w:noWrap w:val="0"/>
            <w:vAlign w:val="top"/>
          </w:tcPr>
          <w:p w14:paraId="688C76F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E7384B2">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333BA9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48D17CF2">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28641581">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77AF556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0CC45EF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341A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5E66FA34">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（1）处置或报废</w:t>
            </w:r>
          </w:p>
        </w:tc>
        <w:tc>
          <w:tcPr>
            <w:tcW w:w="1222" w:type="dxa"/>
            <w:tcBorders>
              <w:top w:val="nil"/>
              <w:left w:val="nil"/>
              <w:bottom w:val="dotted" w:color="auto" w:sz="6" w:space="0"/>
              <w:right w:val="dotted" w:color="auto" w:sz="6" w:space="0"/>
              <w:tl2br w:val="nil"/>
              <w:tr2bl w:val="nil"/>
            </w:tcBorders>
            <w:noWrap w:val="0"/>
            <w:vAlign w:val="top"/>
          </w:tcPr>
          <w:p w14:paraId="65A443B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6A29EB1B">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8DBCF8D">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4ACAFBC0">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4E43DD18">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190B49C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46707A3E">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552B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2E2E9241">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4、期末余额</w:t>
            </w:r>
          </w:p>
        </w:tc>
        <w:tc>
          <w:tcPr>
            <w:tcW w:w="1222" w:type="dxa"/>
            <w:tcBorders>
              <w:top w:val="nil"/>
              <w:left w:val="nil"/>
              <w:bottom w:val="dotted" w:color="auto" w:sz="6" w:space="0"/>
              <w:right w:val="dotted" w:color="auto" w:sz="6" w:space="0"/>
              <w:tl2br w:val="nil"/>
              <w:tr2bl w:val="nil"/>
            </w:tcBorders>
            <w:noWrap w:val="0"/>
            <w:vAlign w:val="top"/>
          </w:tcPr>
          <w:p w14:paraId="4522DDB1">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0C7878D6">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192,461.25</w:t>
            </w:r>
          </w:p>
        </w:tc>
        <w:tc>
          <w:tcPr>
            <w:tcW w:w="2005" w:type="dxa"/>
            <w:tcBorders>
              <w:top w:val="nil"/>
              <w:left w:val="nil"/>
              <w:bottom w:val="dotted" w:color="auto" w:sz="6" w:space="0"/>
              <w:right w:val="dotted" w:color="auto" w:sz="6" w:space="0"/>
              <w:tl2br w:val="nil"/>
              <w:tr2bl w:val="nil"/>
            </w:tcBorders>
            <w:noWrap w:val="0"/>
            <w:vAlign w:val="top"/>
          </w:tcPr>
          <w:p w14:paraId="26A5537E">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3,749,598.35</w:t>
            </w:r>
          </w:p>
        </w:tc>
        <w:tc>
          <w:tcPr>
            <w:tcW w:w="1727" w:type="dxa"/>
            <w:tcBorders>
              <w:top w:val="nil"/>
              <w:left w:val="nil"/>
              <w:bottom w:val="dotted" w:color="auto" w:sz="6" w:space="0"/>
              <w:right w:val="dotted" w:color="auto" w:sz="6" w:space="0"/>
              <w:tl2br w:val="nil"/>
              <w:tr2bl w:val="nil"/>
            </w:tcBorders>
            <w:noWrap w:val="0"/>
            <w:vAlign w:val="top"/>
          </w:tcPr>
          <w:p w14:paraId="057C672C">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2,245,684.08</w:t>
            </w:r>
          </w:p>
        </w:tc>
        <w:tc>
          <w:tcPr>
            <w:tcW w:w="1254" w:type="dxa"/>
            <w:tcBorders>
              <w:top w:val="nil"/>
              <w:left w:val="nil"/>
              <w:bottom w:val="dotted" w:color="auto" w:sz="6" w:space="0"/>
              <w:right w:val="dotted" w:color="auto" w:sz="6" w:space="0"/>
              <w:tl2br w:val="nil"/>
              <w:tr2bl w:val="nil"/>
            </w:tcBorders>
            <w:noWrap w:val="0"/>
            <w:vAlign w:val="top"/>
          </w:tcPr>
          <w:p w14:paraId="6FC0EC81">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7283880D">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503,300.11</w:t>
            </w:r>
          </w:p>
        </w:tc>
        <w:tc>
          <w:tcPr>
            <w:tcW w:w="2088" w:type="dxa"/>
            <w:tcBorders>
              <w:top w:val="nil"/>
              <w:left w:val="nil"/>
              <w:bottom w:val="dotted" w:color="auto" w:sz="6" w:space="0"/>
              <w:right w:val="nil"/>
              <w:tl2br w:val="nil"/>
              <w:tr2bl w:val="nil"/>
            </w:tcBorders>
            <w:noWrap w:val="0"/>
            <w:vAlign w:val="top"/>
          </w:tcPr>
          <w:p w14:paraId="75F53307">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6,691,043.79</w:t>
            </w:r>
          </w:p>
        </w:tc>
      </w:tr>
      <w:tr w14:paraId="401F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2187108B">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三、减值准备</w:t>
            </w:r>
          </w:p>
        </w:tc>
        <w:tc>
          <w:tcPr>
            <w:tcW w:w="1222" w:type="dxa"/>
            <w:tcBorders>
              <w:top w:val="nil"/>
              <w:left w:val="nil"/>
              <w:bottom w:val="dotted" w:color="auto" w:sz="6" w:space="0"/>
              <w:right w:val="dotted" w:color="auto" w:sz="6" w:space="0"/>
              <w:tl2br w:val="nil"/>
              <w:tr2bl w:val="nil"/>
            </w:tcBorders>
            <w:noWrap w:val="0"/>
            <w:vAlign w:val="top"/>
          </w:tcPr>
          <w:p w14:paraId="221248A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3F895143">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5ABCF5D8">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5127DFC9">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45C58E1C">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2CBA0FA1">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42C2A709">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r>
      <w:tr w14:paraId="61BA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00428F12">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1、上年年末余额</w:t>
            </w:r>
          </w:p>
        </w:tc>
        <w:tc>
          <w:tcPr>
            <w:tcW w:w="1222" w:type="dxa"/>
            <w:tcBorders>
              <w:top w:val="nil"/>
              <w:left w:val="nil"/>
              <w:bottom w:val="dotted" w:color="auto" w:sz="6" w:space="0"/>
              <w:right w:val="dotted" w:color="auto" w:sz="6" w:space="0"/>
              <w:tl2br w:val="nil"/>
              <w:tr2bl w:val="nil"/>
            </w:tcBorders>
            <w:noWrap w:val="0"/>
            <w:vAlign w:val="top"/>
          </w:tcPr>
          <w:p w14:paraId="474E8031">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7A9D178">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711EB534">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3A11739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063A1C0D">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5199448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6904014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3757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0D6DB49B">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2、本期增加金额</w:t>
            </w:r>
          </w:p>
        </w:tc>
        <w:tc>
          <w:tcPr>
            <w:tcW w:w="1222" w:type="dxa"/>
            <w:tcBorders>
              <w:top w:val="nil"/>
              <w:left w:val="nil"/>
              <w:bottom w:val="dotted" w:color="auto" w:sz="6" w:space="0"/>
              <w:right w:val="dotted" w:color="auto" w:sz="6" w:space="0"/>
              <w:tl2br w:val="nil"/>
              <w:tr2bl w:val="nil"/>
            </w:tcBorders>
            <w:noWrap w:val="0"/>
            <w:vAlign w:val="top"/>
          </w:tcPr>
          <w:p w14:paraId="2CB1A52C">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39A1DBFE">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5A7D3F2F">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619F153B">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4DDC961B">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0666ED0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03B5EAD6">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3FF3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375637C2">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（1）计提</w:t>
            </w:r>
          </w:p>
        </w:tc>
        <w:tc>
          <w:tcPr>
            <w:tcW w:w="1222" w:type="dxa"/>
            <w:tcBorders>
              <w:top w:val="nil"/>
              <w:left w:val="nil"/>
              <w:bottom w:val="dotted" w:color="auto" w:sz="6" w:space="0"/>
              <w:right w:val="dotted" w:color="auto" w:sz="6" w:space="0"/>
              <w:tl2br w:val="nil"/>
              <w:tr2bl w:val="nil"/>
            </w:tcBorders>
            <w:noWrap w:val="0"/>
            <w:vAlign w:val="top"/>
          </w:tcPr>
          <w:p w14:paraId="018CAB98">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42C48B2F">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551651F3">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6148EA82">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23D4CC9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5C897C89">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27EF7060">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06B4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72F65631">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3、本期减少金额</w:t>
            </w:r>
          </w:p>
        </w:tc>
        <w:tc>
          <w:tcPr>
            <w:tcW w:w="1222" w:type="dxa"/>
            <w:tcBorders>
              <w:top w:val="nil"/>
              <w:left w:val="nil"/>
              <w:bottom w:val="dotted" w:color="auto" w:sz="6" w:space="0"/>
              <w:right w:val="dotted" w:color="auto" w:sz="6" w:space="0"/>
              <w:tl2br w:val="nil"/>
              <w:tr2bl w:val="nil"/>
            </w:tcBorders>
            <w:noWrap w:val="0"/>
            <w:vAlign w:val="top"/>
          </w:tcPr>
          <w:p w14:paraId="1704296F">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2EA0E38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4C3E1E6A">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711956A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65D62E0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05731C91">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08792289">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6DB9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538D42AC">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（1）处置或报废</w:t>
            </w:r>
          </w:p>
        </w:tc>
        <w:tc>
          <w:tcPr>
            <w:tcW w:w="1222" w:type="dxa"/>
            <w:tcBorders>
              <w:top w:val="nil"/>
              <w:left w:val="nil"/>
              <w:bottom w:val="dotted" w:color="auto" w:sz="6" w:space="0"/>
              <w:right w:val="dotted" w:color="auto" w:sz="6" w:space="0"/>
              <w:tl2br w:val="nil"/>
              <w:tr2bl w:val="nil"/>
            </w:tcBorders>
            <w:noWrap w:val="0"/>
            <w:vAlign w:val="top"/>
          </w:tcPr>
          <w:p w14:paraId="1E519085">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082F95DE">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0F7D9510">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7BB93D92">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4848F23C">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430725E1">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2A12AED0">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4871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6B41C7DA">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4、期末余额</w:t>
            </w:r>
          </w:p>
        </w:tc>
        <w:tc>
          <w:tcPr>
            <w:tcW w:w="1222" w:type="dxa"/>
            <w:tcBorders>
              <w:top w:val="nil"/>
              <w:left w:val="nil"/>
              <w:bottom w:val="dotted" w:color="auto" w:sz="6" w:space="0"/>
              <w:right w:val="dotted" w:color="auto" w:sz="6" w:space="0"/>
              <w:tl2br w:val="nil"/>
              <w:tr2bl w:val="nil"/>
            </w:tcBorders>
            <w:noWrap w:val="0"/>
            <w:vAlign w:val="top"/>
          </w:tcPr>
          <w:p w14:paraId="6069421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0560024A">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219A913E">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7E336B2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1825CEAA">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3363A746">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1B7EF19C">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0C76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5A0E9095">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四、账面价值</w:t>
            </w:r>
          </w:p>
        </w:tc>
        <w:tc>
          <w:tcPr>
            <w:tcW w:w="1222" w:type="dxa"/>
            <w:tcBorders>
              <w:top w:val="nil"/>
              <w:left w:val="nil"/>
              <w:bottom w:val="dotted" w:color="auto" w:sz="6" w:space="0"/>
              <w:right w:val="dotted" w:color="auto" w:sz="6" w:space="0"/>
              <w:tl2br w:val="nil"/>
              <w:tr2bl w:val="nil"/>
            </w:tcBorders>
            <w:noWrap w:val="0"/>
            <w:vAlign w:val="top"/>
          </w:tcPr>
          <w:p w14:paraId="1C7E11CD">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3CE689BE">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05" w:type="dxa"/>
            <w:tcBorders>
              <w:top w:val="nil"/>
              <w:left w:val="nil"/>
              <w:bottom w:val="dotted" w:color="auto" w:sz="6" w:space="0"/>
              <w:right w:val="dotted" w:color="auto" w:sz="6" w:space="0"/>
              <w:tl2br w:val="nil"/>
              <w:tr2bl w:val="nil"/>
            </w:tcBorders>
            <w:noWrap w:val="0"/>
            <w:vAlign w:val="top"/>
          </w:tcPr>
          <w:p w14:paraId="1E6D591C">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27" w:type="dxa"/>
            <w:tcBorders>
              <w:top w:val="nil"/>
              <w:left w:val="nil"/>
              <w:bottom w:val="dotted" w:color="auto" w:sz="6" w:space="0"/>
              <w:right w:val="dotted" w:color="auto" w:sz="6" w:space="0"/>
              <w:tl2br w:val="nil"/>
              <w:tr2bl w:val="nil"/>
            </w:tcBorders>
            <w:noWrap w:val="0"/>
            <w:vAlign w:val="top"/>
          </w:tcPr>
          <w:p w14:paraId="0371359C">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254" w:type="dxa"/>
            <w:tcBorders>
              <w:top w:val="nil"/>
              <w:left w:val="nil"/>
              <w:bottom w:val="dotted" w:color="auto" w:sz="6" w:space="0"/>
              <w:right w:val="dotted" w:color="auto" w:sz="6" w:space="0"/>
              <w:tl2br w:val="nil"/>
              <w:tr2bl w:val="nil"/>
            </w:tcBorders>
            <w:noWrap w:val="0"/>
            <w:vAlign w:val="top"/>
          </w:tcPr>
          <w:p w14:paraId="17E0E2BA">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24CAC6B7">
            <w:pPr>
              <w:keepNext w:val="0"/>
              <w:keepLines w:val="0"/>
              <w:suppressLineNumbers w:val="0"/>
              <w:spacing w:before="0" w:beforeAutospacing="0" w:after="0" w:afterAutospacing="0"/>
              <w:ind w:left="0" w:right="0"/>
              <w:jc w:val="right"/>
              <w:rPr>
                <w:rFonts w:hint="eastAsia" w:ascii="Times New Roman" w:hAnsi="Times New Roman" w:eastAsia="Times New Roman"/>
                <w:color w:val="000000"/>
                <w:sz w:val="18"/>
                <w:szCs w:val="24"/>
                <w:highlight w:val="none"/>
              </w:rPr>
            </w:pPr>
          </w:p>
        </w:tc>
        <w:tc>
          <w:tcPr>
            <w:tcW w:w="2088" w:type="dxa"/>
            <w:tcBorders>
              <w:top w:val="nil"/>
              <w:left w:val="nil"/>
              <w:bottom w:val="dotted" w:color="auto" w:sz="6" w:space="0"/>
              <w:right w:val="nil"/>
              <w:tl2br w:val="nil"/>
              <w:tr2bl w:val="nil"/>
            </w:tcBorders>
            <w:noWrap w:val="0"/>
            <w:vAlign w:val="top"/>
          </w:tcPr>
          <w:p w14:paraId="50C475C5">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r>
      <w:tr w14:paraId="3CC6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dotted" w:color="auto" w:sz="6" w:space="0"/>
              <w:right w:val="dotted" w:color="auto" w:sz="6" w:space="0"/>
              <w:tl2br w:val="nil"/>
              <w:tr2bl w:val="nil"/>
            </w:tcBorders>
            <w:noWrap w:val="0"/>
            <w:vAlign w:val="top"/>
          </w:tcPr>
          <w:p w14:paraId="6396BC45">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1、期末账面价值</w:t>
            </w:r>
          </w:p>
        </w:tc>
        <w:tc>
          <w:tcPr>
            <w:tcW w:w="1222" w:type="dxa"/>
            <w:tcBorders>
              <w:top w:val="nil"/>
              <w:left w:val="nil"/>
              <w:bottom w:val="dotted" w:color="auto" w:sz="6" w:space="0"/>
              <w:right w:val="dotted" w:color="auto" w:sz="6" w:space="0"/>
              <w:tl2br w:val="nil"/>
              <w:tr2bl w:val="nil"/>
            </w:tcBorders>
            <w:noWrap w:val="0"/>
            <w:vAlign w:val="top"/>
          </w:tcPr>
          <w:p w14:paraId="3A75DEC4">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dotted" w:color="auto" w:sz="6" w:space="0"/>
              <w:right w:val="dotted" w:color="auto" w:sz="6" w:space="0"/>
              <w:tl2br w:val="nil"/>
              <w:tr2bl w:val="nil"/>
            </w:tcBorders>
            <w:noWrap w:val="0"/>
            <w:vAlign w:val="top"/>
          </w:tcPr>
          <w:p w14:paraId="463C44B2">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32,639.64</w:t>
            </w:r>
          </w:p>
        </w:tc>
        <w:tc>
          <w:tcPr>
            <w:tcW w:w="2005" w:type="dxa"/>
            <w:tcBorders>
              <w:top w:val="nil"/>
              <w:left w:val="nil"/>
              <w:bottom w:val="dotted" w:color="auto" w:sz="6" w:space="0"/>
              <w:right w:val="dotted" w:color="auto" w:sz="6" w:space="0"/>
              <w:tl2br w:val="nil"/>
              <w:tr2bl w:val="nil"/>
            </w:tcBorders>
            <w:noWrap w:val="0"/>
            <w:vAlign w:val="top"/>
          </w:tcPr>
          <w:p w14:paraId="0894620E">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264,251.89</w:t>
            </w:r>
          </w:p>
        </w:tc>
        <w:tc>
          <w:tcPr>
            <w:tcW w:w="1727" w:type="dxa"/>
            <w:tcBorders>
              <w:top w:val="nil"/>
              <w:left w:val="nil"/>
              <w:bottom w:val="dotted" w:color="auto" w:sz="6" w:space="0"/>
              <w:right w:val="dotted" w:color="auto" w:sz="6" w:space="0"/>
              <w:tl2br w:val="nil"/>
              <w:tr2bl w:val="nil"/>
            </w:tcBorders>
            <w:noWrap w:val="0"/>
            <w:vAlign w:val="top"/>
          </w:tcPr>
          <w:p w14:paraId="396847F9">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547,942.74</w:t>
            </w:r>
          </w:p>
        </w:tc>
        <w:tc>
          <w:tcPr>
            <w:tcW w:w="1254" w:type="dxa"/>
            <w:tcBorders>
              <w:top w:val="nil"/>
              <w:left w:val="nil"/>
              <w:bottom w:val="dotted" w:color="auto" w:sz="6" w:space="0"/>
              <w:right w:val="dotted" w:color="auto" w:sz="6" w:space="0"/>
              <w:tl2br w:val="nil"/>
              <w:tr2bl w:val="nil"/>
            </w:tcBorders>
            <w:noWrap w:val="0"/>
            <w:vAlign w:val="top"/>
          </w:tcPr>
          <w:p w14:paraId="32FCB3D1">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dotted" w:color="auto" w:sz="6" w:space="0"/>
              <w:right w:val="dotted" w:color="auto" w:sz="6" w:space="0"/>
              <w:tl2br w:val="nil"/>
              <w:tr2bl w:val="nil"/>
            </w:tcBorders>
            <w:noWrap w:val="0"/>
            <w:vAlign w:val="top"/>
          </w:tcPr>
          <w:p w14:paraId="42D25CFB">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47,405.01</w:t>
            </w:r>
          </w:p>
        </w:tc>
        <w:tc>
          <w:tcPr>
            <w:tcW w:w="2088" w:type="dxa"/>
            <w:tcBorders>
              <w:top w:val="nil"/>
              <w:left w:val="nil"/>
              <w:bottom w:val="dotted" w:color="auto" w:sz="6" w:space="0"/>
              <w:right w:val="nil"/>
              <w:tl2br w:val="nil"/>
              <w:tr2bl w:val="nil"/>
            </w:tcBorders>
            <w:noWrap w:val="0"/>
            <w:vAlign w:val="top"/>
          </w:tcPr>
          <w:p w14:paraId="0785BF61">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892,239.28</w:t>
            </w:r>
          </w:p>
        </w:tc>
      </w:tr>
      <w:tr w14:paraId="241C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39" w:type="dxa"/>
            <w:tcBorders>
              <w:top w:val="nil"/>
              <w:left w:val="nil"/>
              <w:bottom w:val="single" w:color="auto" w:sz="18" w:space="0"/>
              <w:right w:val="dotted" w:color="auto" w:sz="6" w:space="0"/>
              <w:tl2br w:val="nil"/>
              <w:tr2bl w:val="nil"/>
            </w:tcBorders>
            <w:noWrap w:val="0"/>
            <w:vAlign w:val="top"/>
          </w:tcPr>
          <w:p w14:paraId="7C73CC5D">
            <w:pPr>
              <w:keepNext w:val="0"/>
              <w:keepLines w:val="0"/>
              <w:widowControl/>
              <w:suppressLineNumbers w:val="0"/>
              <w:spacing w:before="0" w:beforeAutospacing="0" w:after="0" w:afterAutospacing="0"/>
              <w:ind w:left="0" w:right="0"/>
              <w:jc w:val="lef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2、上年年末账面价值</w:t>
            </w:r>
          </w:p>
        </w:tc>
        <w:tc>
          <w:tcPr>
            <w:tcW w:w="1222" w:type="dxa"/>
            <w:tcBorders>
              <w:top w:val="nil"/>
              <w:left w:val="nil"/>
              <w:bottom w:val="single" w:color="auto" w:sz="18" w:space="0"/>
              <w:right w:val="dotted" w:color="auto" w:sz="6" w:space="0"/>
              <w:tl2br w:val="nil"/>
              <w:tr2bl w:val="nil"/>
            </w:tcBorders>
            <w:noWrap w:val="0"/>
            <w:vAlign w:val="top"/>
          </w:tcPr>
          <w:p w14:paraId="0E9BA1A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940" w:type="dxa"/>
            <w:tcBorders>
              <w:top w:val="nil"/>
              <w:left w:val="nil"/>
              <w:bottom w:val="single" w:color="auto" w:sz="18" w:space="0"/>
              <w:right w:val="dotted" w:color="auto" w:sz="6" w:space="0"/>
              <w:tl2br w:val="nil"/>
              <w:tr2bl w:val="nil"/>
            </w:tcBorders>
            <w:noWrap w:val="0"/>
            <w:vAlign w:val="top"/>
          </w:tcPr>
          <w:p w14:paraId="6C27FED0">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75,408.84</w:t>
            </w:r>
          </w:p>
        </w:tc>
        <w:tc>
          <w:tcPr>
            <w:tcW w:w="2005" w:type="dxa"/>
            <w:tcBorders>
              <w:top w:val="nil"/>
              <w:left w:val="nil"/>
              <w:bottom w:val="single" w:color="auto" w:sz="18" w:space="0"/>
              <w:right w:val="dotted" w:color="auto" w:sz="6" w:space="0"/>
              <w:tl2br w:val="nil"/>
              <w:tr2bl w:val="nil"/>
            </w:tcBorders>
            <w:noWrap w:val="0"/>
            <w:vAlign w:val="top"/>
          </w:tcPr>
          <w:p w14:paraId="793BBBB8">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614,964.91</w:t>
            </w:r>
          </w:p>
        </w:tc>
        <w:tc>
          <w:tcPr>
            <w:tcW w:w="1727" w:type="dxa"/>
            <w:tcBorders>
              <w:top w:val="nil"/>
              <w:left w:val="nil"/>
              <w:bottom w:val="single" w:color="auto" w:sz="18" w:space="0"/>
              <w:right w:val="dotted" w:color="auto" w:sz="6" w:space="0"/>
              <w:tl2br w:val="nil"/>
              <w:tr2bl w:val="nil"/>
            </w:tcBorders>
            <w:noWrap w:val="0"/>
            <w:vAlign w:val="top"/>
          </w:tcPr>
          <w:p w14:paraId="2C08A4BC">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596,171.65</w:t>
            </w:r>
          </w:p>
        </w:tc>
        <w:tc>
          <w:tcPr>
            <w:tcW w:w="1254" w:type="dxa"/>
            <w:tcBorders>
              <w:top w:val="nil"/>
              <w:left w:val="nil"/>
              <w:bottom w:val="single" w:color="auto" w:sz="18" w:space="0"/>
              <w:right w:val="dotted" w:color="auto" w:sz="6" w:space="0"/>
              <w:tl2br w:val="nil"/>
              <w:tr2bl w:val="nil"/>
            </w:tcBorders>
            <w:noWrap w:val="0"/>
            <w:vAlign w:val="top"/>
          </w:tcPr>
          <w:p w14:paraId="2E84A063">
            <w:pPr>
              <w:keepNext w:val="0"/>
              <w:keepLines w:val="0"/>
              <w:suppressLineNumbers w:val="0"/>
              <w:spacing w:before="0" w:beforeAutospacing="0" w:after="0" w:afterAutospacing="0"/>
              <w:ind w:left="0" w:right="0"/>
              <w:jc w:val="right"/>
              <w:rPr>
                <w:rFonts w:hint="eastAsia" w:ascii="宋体" w:hAnsi="宋体"/>
                <w:color w:val="000000"/>
                <w:sz w:val="18"/>
                <w:szCs w:val="24"/>
                <w:highlight w:val="none"/>
              </w:rPr>
            </w:pPr>
          </w:p>
        </w:tc>
        <w:tc>
          <w:tcPr>
            <w:tcW w:w="1793" w:type="dxa"/>
            <w:tcBorders>
              <w:top w:val="nil"/>
              <w:left w:val="nil"/>
              <w:bottom w:val="single" w:color="auto" w:sz="18" w:space="0"/>
              <w:right w:val="dotted" w:color="auto" w:sz="6" w:space="0"/>
              <w:tl2br w:val="nil"/>
              <w:tr2bl w:val="nil"/>
            </w:tcBorders>
            <w:noWrap w:val="0"/>
            <w:vAlign w:val="top"/>
          </w:tcPr>
          <w:p w14:paraId="4FB03076">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65,868.94</w:t>
            </w:r>
          </w:p>
        </w:tc>
        <w:tc>
          <w:tcPr>
            <w:tcW w:w="2088" w:type="dxa"/>
            <w:tcBorders>
              <w:top w:val="nil"/>
              <w:left w:val="nil"/>
              <w:bottom w:val="single" w:color="auto" w:sz="18" w:space="0"/>
              <w:right w:val="nil"/>
              <w:tl2br w:val="nil"/>
              <w:tr2bl w:val="nil"/>
            </w:tcBorders>
            <w:noWrap w:val="0"/>
            <w:vAlign w:val="top"/>
          </w:tcPr>
          <w:p w14:paraId="1EF98F53">
            <w:pPr>
              <w:keepNext w:val="0"/>
              <w:keepLines w:val="0"/>
              <w:widowControl/>
              <w:suppressLineNumbers w:val="0"/>
              <w:spacing w:before="0" w:beforeAutospacing="0" w:after="0" w:afterAutospacing="0"/>
              <w:ind w:left="0" w:right="0"/>
              <w:jc w:val="right"/>
              <w:textAlignment w:val="top"/>
              <w:rPr>
                <w:rFonts w:hint="eastAsia" w:ascii="宋体" w:hAnsi="宋体"/>
                <w:color w:val="000000"/>
                <w:sz w:val="18"/>
                <w:szCs w:val="24"/>
                <w:highlight w:val="none"/>
              </w:rPr>
            </w:pPr>
            <w:r>
              <w:rPr>
                <w:rFonts w:hint="eastAsia" w:ascii="宋体" w:hAnsi="宋体" w:eastAsia="宋体" w:cs="宋体"/>
                <w:i w:val="0"/>
                <w:iCs w:val="0"/>
                <w:color w:val="000000"/>
                <w:kern w:val="0"/>
                <w:sz w:val="18"/>
                <w:szCs w:val="18"/>
                <w:highlight w:val="none"/>
                <w:u w:val="none"/>
                <w:lang w:val="en-US" w:eastAsia="zh-CN" w:bidi="ar"/>
              </w:rPr>
              <w:t>1,352,414.34</w:t>
            </w:r>
          </w:p>
        </w:tc>
      </w:tr>
    </w:tbl>
    <w:p w14:paraId="7186B43B">
      <w:pPr>
        <w:spacing w:line="480" w:lineRule="exact"/>
        <w:ind w:firstLine="480" w:firstLineChars="200"/>
        <w:rPr>
          <w:rFonts w:hint="eastAsia" w:ascii="宋体" w:hAnsi="宋体" w:cs="宋体"/>
          <w:sz w:val="24"/>
          <w:szCs w:val="24"/>
          <w:highlight w:val="none"/>
        </w:rPr>
        <w:sectPr>
          <w:headerReference r:id="rId9" w:type="default"/>
          <w:footerReference r:id="rId10" w:type="default"/>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FA95248">
      <w:pPr>
        <w:pStyle w:val="3"/>
        <w:keepNext w:val="0"/>
        <w:keepLines w:val="0"/>
        <w:numPr>
          <w:ilvl w:val="0"/>
          <w:numId w:val="0"/>
        </w:numPr>
        <w:tabs>
          <w:tab w:val="left" w:pos="851"/>
        </w:tabs>
        <w:spacing w:before="0" w:after="0" w:line="480" w:lineRule="exact"/>
        <w:rPr>
          <w:rFonts w:ascii="Times New Roman" w:hAnsi="Times New Roman" w:eastAsia="宋体"/>
          <w:bCs w:val="0"/>
          <w:sz w:val="24"/>
          <w:szCs w:val="24"/>
          <w:highlight w:val="none"/>
        </w:rPr>
      </w:pP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五</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rPr>
        <w:t>使用权资产</w:t>
      </w:r>
    </w:p>
    <w:tbl>
      <w:tblPr>
        <w:tblStyle w:val="22"/>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48"/>
        <w:gridCol w:w="1561"/>
        <w:gridCol w:w="1645"/>
        <w:gridCol w:w="1537"/>
        <w:gridCol w:w="1831"/>
      </w:tblGrid>
      <w:tr w14:paraId="0C7C15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blHeader/>
          <w:jc w:val="center"/>
        </w:trPr>
        <w:tc>
          <w:tcPr>
            <w:tcW w:w="1948" w:type="dxa"/>
            <w:tcBorders>
              <w:top w:val="single" w:color="auto" w:sz="12" w:space="0"/>
            </w:tcBorders>
            <w:vAlign w:val="bottom"/>
          </w:tcPr>
          <w:p w14:paraId="5E712714">
            <w:pPr>
              <w:keepNext w:val="0"/>
              <w:keepLines w:val="0"/>
              <w:widowControl/>
              <w:suppressLineNumbers w:val="0"/>
              <w:spacing w:before="0" w:beforeAutospacing="0" w:after="0" w:afterAutospacing="0"/>
              <w:ind w:left="0" w:right="0"/>
              <w:jc w:val="center"/>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561" w:type="dxa"/>
            <w:tcBorders>
              <w:top w:val="single" w:color="auto" w:sz="12" w:space="0"/>
            </w:tcBorders>
            <w:shd w:val="clear" w:color="auto" w:fill="auto"/>
            <w:vAlign w:val="bottom"/>
          </w:tcPr>
          <w:p w14:paraId="1E218DC0">
            <w:pPr>
              <w:keepNext w:val="0"/>
              <w:keepLines w:val="0"/>
              <w:widowControl/>
              <w:suppressLineNumbers w:val="0"/>
              <w:spacing w:before="0" w:beforeAutospacing="0" w:after="0" w:afterAutospacing="0"/>
              <w:ind w:left="0" w:right="0"/>
              <w:jc w:val="center"/>
              <w:textAlignment w:val="bottom"/>
              <w:rPr>
                <w:rFonts w:hint="default" w:ascii="宋体" w:hAnsi="宋体"/>
                <w:color w:val="000000"/>
                <w:kern w:val="0"/>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c>
          <w:tcPr>
            <w:tcW w:w="1645" w:type="dxa"/>
            <w:tcBorders>
              <w:top w:val="single" w:color="auto" w:sz="12" w:space="0"/>
            </w:tcBorders>
            <w:vAlign w:val="bottom"/>
          </w:tcPr>
          <w:p w14:paraId="68238EC4">
            <w:pPr>
              <w:keepNext w:val="0"/>
              <w:keepLines w:val="0"/>
              <w:widowControl/>
              <w:suppressLineNumbers w:val="0"/>
              <w:spacing w:before="0" w:beforeAutospacing="0" w:after="0" w:afterAutospacing="0"/>
              <w:ind w:left="0" w:right="0"/>
              <w:jc w:val="center"/>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本期增加额</w:t>
            </w:r>
          </w:p>
        </w:tc>
        <w:tc>
          <w:tcPr>
            <w:tcW w:w="1537" w:type="dxa"/>
            <w:tcBorders>
              <w:top w:val="single" w:color="auto" w:sz="12" w:space="0"/>
            </w:tcBorders>
            <w:vAlign w:val="bottom"/>
          </w:tcPr>
          <w:p w14:paraId="48B2243B">
            <w:pPr>
              <w:keepNext w:val="0"/>
              <w:keepLines w:val="0"/>
              <w:widowControl/>
              <w:suppressLineNumbers w:val="0"/>
              <w:spacing w:before="0" w:beforeAutospacing="0" w:after="0" w:afterAutospacing="0"/>
              <w:ind w:left="0" w:right="0"/>
              <w:jc w:val="center"/>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本期减少额</w:t>
            </w:r>
          </w:p>
        </w:tc>
        <w:tc>
          <w:tcPr>
            <w:tcW w:w="1831" w:type="dxa"/>
            <w:tcBorders>
              <w:top w:val="single" w:color="auto" w:sz="12" w:space="0"/>
            </w:tcBorders>
            <w:vAlign w:val="bottom"/>
          </w:tcPr>
          <w:p w14:paraId="4A6B6C5C">
            <w:pPr>
              <w:keepNext w:val="0"/>
              <w:keepLines w:val="0"/>
              <w:widowControl/>
              <w:suppressLineNumbers w:val="0"/>
              <w:spacing w:before="0" w:beforeAutospacing="0" w:after="0" w:afterAutospacing="0"/>
              <w:ind w:left="0" w:right="0"/>
              <w:jc w:val="center"/>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r>
      <w:tr w14:paraId="55A217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1948" w:type="dxa"/>
            <w:vAlign w:val="bottom"/>
          </w:tcPr>
          <w:p w14:paraId="2EF57BF6">
            <w:pPr>
              <w:keepNext w:val="0"/>
              <w:keepLines w:val="0"/>
              <w:widowControl/>
              <w:suppressLineNumbers w:val="0"/>
              <w:spacing w:before="0" w:beforeAutospacing="0" w:after="0" w:afterAutospacing="0"/>
              <w:ind w:left="0" w:right="0"/>
              <w:jc w:val="left"/>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使用权资产原值</w:t>
            </w:r>
          </w:p>
        </w:tc>
        <w:tc>
          <w:tcPr>
            <w:tcW w:w="1561" w:type="dxa"/>
            <w:shd w:val="clear" w:color="auto" w:fill="auto"/>
            <w:vAlign w:val="bottom"/>
          </w:tcPr>
          <w:p w14:paraId="17F7CF08">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5,560,323.94</w:t>
            </w:r>
          </w:p>
        </w:tc>
        <w:tc>
          <w:tcPr>
            <w:tcW w:w="1645" w:type="dxa"/>
            <w:vAlign w:val="bottom"/>
          </w:tcPr>
          <w:p w14:paraId="57FC28C7">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3,169,770.08 </w:t>
            </w:r>
          </w:p>
        </w:tc>
        <w:tc>
          <w:tcPr>
            <w:tcW w:w="1537" w:type="dxa"/>
            <w:vAlign w:val="bottom"/>
          </w:tcPr>
          <w:p w14:paraId="25A98590">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vAlign w:val="bottom"/>
          </w:tcPr>
          <w:p w14:paraId="06720D76">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8,730,094.02</w:t>
            </w:r>
          </w:p>
        </w:tc>
      </w:tr>
      <w:tr w14:paraId="67FDD0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1948" w:type="dxa"/>
            <w:vAlign w:val="bottom"/>
          </w:tcPr>
          <w:p w14:paraId="2204B50B">
            <w:pPr>
              <w:keepNext w:val="0"/>
              <w:keepLines w:val="0"/>
              <w:widowControl/>
              <w:suppressLineNumbers w:val="0"/>
              <w:spacing w:before="0" w:beforeAutospacing="0" w:after="0" w:afterAutospacing="0"/>
              <w:ind w:left="0" w:right="0"/>
              <w:jc w:val="left"/>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房屋及建筑物</w:t>
            </w:r>
          </w:p>
        </w:tc>
        <w:tc>
          <w:tcPr>
            <w:tcW w:w="1561" w:type="dxa"/>
            <w:shd w:val="clear" w:color="auto" w:fill="auto"/>
            <w:vAlign w:val="bottom"/>
          </w:tcPr>
          <w:p w14:paraId="693E52EA">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5,560,323.94</w:t>
            </w:r>
          </w:p>
        </w:tc>
        <w:tc>
          <w:tcPr>
            <w:tcW w:w="1645" w:type="dxa"/>
            <w:vAlign w:val="center"/>
          </w:tcPr>
          <w:p w14:paraId="1E17881E">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3,169,770.08 </w:t>
            </w:r>
          </w:p>
        </w:tc>
        <w:tc>
          <w:tcPr>
            <w:tcW w:w="1537" w:type="dxa"/>
            <w:vAlign w:val="bottom"/>
          </w:tcPr>
          <w:p w14:paraId="30382A7D">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vAlign w:val="bottom"/>
          </w:tcPr>
          <w:p w14:paraId="0D86B2C6">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8,730,094.02</w:t>
            </w:r>
          </w:p>
        </w:tc>
      </w:tr>
      <w:tr w14:paraId="6C0F53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1948" w:type="dxa"/>
            <w:vAlign w:val="bottom"/>
          </w:tcPr>
          <w:p w14:paraId="0595585A">
            <w:pPr>
              <w:keepNext w:val="0"/>
              <w:keepLines w:val="0"/>
              <w:widowControl/>
              <w:suppressLineNumbers w:val="0"/>
              <w:spacing w:before="0" w:beforeAutospacing="0" w:after="0" w:afterAutospacing="0"/>
              <w:ind w:left="0" w:right="0"/>
              <w:jc w:val="left"/>
              <w:textAlignment w:val="bottom"/>
              <w:rPr>
                <w:rFonts w:hint="default" w:ascii="宋体" w:hAnsi="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使用权资产累计折旧</w:t>
            </w:r>
          </w:p>
        </w:tc>
        <w:tc>
          <w:tcPr>
            <w:tcW w:w="1561" w:type="dxa"/>
            <w:shd w:val="clear" w:color="auto" w:fill="auto"/>
            <w:vAlign w:val="bottom"/>
          </w:tcPr>
          <w:p w14:paraId="74C44EFF">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4,466,304.56</w:t>
            </w:r>
          </w:p>
        </w:tc>
        <w:tc>
          <w:tcPr>
            <w:tcW w:w="1645" w:type="dxa"/>
            <w:vAlign w:val="bottom"/>
          </w:tcPr>
          <w:p w14:paraId="11206F2F">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1,484,755.27</w:t>
            </w:r>
          </w:p>
        </w:tc>
        <w:tc>
          <w:tcPr>
            <w:tcW w:w="1537" w:type="dxa"/>
            <w:vAlign w:val="bottom"/>
          </w:tcPr>
          <w:p w14:paraId="65DD236D">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vAlign w:val="bottom"/>
          </w:tcPr>
          <w:p w14:paraId="1C71FAAD">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5,951,059.83</w:t>
            </w:r>
          </w:p>
        </w:tc>
      </w:tr>
      <w:tr w14:paraId="068B39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7" w:hRule="exact"/>
          <w:jc w:val="center"/>
        </w:trPr>
        <w:tc>
          <w:tcPr>
            <w:tcW w:w="1948" w:type="dxa"/>
            <w:vAlign w:val="bottom"/>
          </w:tcPr>
          <w:p w14:paraId="3774D11A">
            <w:pPr>
              <w:keepNext w:val="0"/>
              <w:keepLines w:val="0"/>
              <w:widowControl/>
              <w:suppressLineNumbers w:val="0"/>
              <w:spacing w:before="0" w:beforeAutospacing="0" w:after="0" w:afterAutospacing="0"/>
              <w:ind w:left="0" w:right="0"/>
              <w:jc w:val="left"/>
              <w:textAlignment w:val="bottom"/>
              <w:rPr>
                <w:rFonts w:hint="default" w:ascii="宋体" w:hAnsi="宋体"/>
                <w:color w:val="000000"/>
                <w:kern w:val="0"/>
                <w:highlight w:val="none"/>
              </w:rPr>
            </w:pPr>
            <w:r>
              <w:rPr>
                <w:rFonts w:hint="eastAsia" w:ascii="宋体" w:hAnsi="宋体" w:eastAsia="宋体" w:cs="宋体"/>
                <w:i w:val="0"/>
                <w:iCs w:val="0"/>
                <w:color w:val="000000"/>
                <w:kern w:val="0"/>
                <w:sz w:val="21"/>
                <w:szCs w:val="21"/>
                <w:highlight w:val="none"/>
                <w:u w:val="none"/>
                <w:lang w:val="en-US" w:eastAsia="zh-CN" w:bidi="ar"/>
              </w:rPr>
              <w:t>房屋及建筑物</w:t>
            </w:r>
          </w:p>
        </w:tc>
        <w:tc>
          <w:tcPr>
            <w:tcW w:w="1561" w:type="dxa"/>
            <w:shd w:val="clear" w:color="auto" w:fill="auto"/>
            <w:vAlign w:val="bottom"/>
          </w:tcPr>
          <w:p w14:paraId="6393F450">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4,466,304.56</w:t>
            </w:r>
          </w:p>
        </w:tc>
        <w:tc>
          <w:tcPr>
            <w:tcW w:w="1645" w:type="dxa"/>
            <w:vAlign w:val="center"/>
          </w:tcPr>
          <w:p w14:paraId="715A667F">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1,484,755.27</w:t>
            </w:r>
          </w:p>
        </w:tc>
        <w:tc>
          <w:tcPr>
            <w:tcW w:w="1537" w:type="dxa"/>
            <w:vAlign w:val="bottom"/>
          </w:tcPr>
          <w:p w14:paraId="63D81657">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vAlign w:val="bottom"/>
          </w:tcPr>
          <w:p w14:paraId="43B062BB">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5,951,059.83</w:t>
            </w:r>
          </w:p>
        </w:tc>
      </w:tr>
      <w:tr w14:paraId="7E3BEE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1948" w:type="dxa"/>
            <w:vAlign w:val="bottom"/>
          </w:tcPr>
          <w:p w14:paraId="18E0017B">
            <w:pPr>
              <w:keepNext w:val="0"/>
              <w:keepLines w:val="0"/>
              <w:widowControl/>
              <w:suppressLineNumbers w:val="0"/>
              <w:spacing w:before="0" w:beforeAutospacing="0" w:after="0" w:afterAutospacing="0"/>
              <w:ind w:left="0" w:right="0"/>
              <w:jc w:val="left"/>
              <w:textAlignment w:val="bottom"/>
              <w:rPr>
                <w:rFonts w:hint="default" w:ascii="宋体" w:hAnsi="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使用权资产减值准备</w:t>
            </w:r>
          </w:p>
        </w:tc>
        <w:tc>
          <w:tcPr>
            <w:tcW w:w="1561" w:type="dxa"/>
            <w:shd w:val="clear" w:color="auto" w:fill="auto"/>
            <w:vAlign w:val="bottom"/>
          </w:tcPr>
          <w:p w14:paraId="1BF558CF">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645" w:type="dxa"/>
            <w:vAlign w:val="bottom"/>
          </w:tcPr>
          <w:p w14:paraId="016B7E78">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537" w:type="dxa"/>
            <w:vAlign w:val="bottom"/>
          </w:tcPr>
          <w:p w14:paraId="02A47F84">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vAlign w:val="bottom"/>
          </w:tcPr>
          <w:p w14:paraId="70AD0A4E">
            <w:pPr>
              <w:keepNext w:val="0"/>
              <w:keepLines w:val="0"/>
              <w:suppressLineNumbers w:val="0"/>
              <w:spacing w:before="0" w:beforeAutospacing="0" w:after="0" w:afterAutospacing="0"/>
              <w:ind w:left="0" w:right="0"/>
              <w:jc w:val="right"/>
              <w:rPr>
                <w:rFonts w:hint="default" w:ascii="宋体" w:hAnsi="宋体"/>
                <w:color w:val="000000"/>
                <w:highlight w:val="none"/>
              </w:rPr>
            </w:pPr>
          </w:p>
        </w:tc>
      </w:tr>
      <w:tr w14:paraId="73674D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1948" w:type="dxa"/>
            <w:tcBorders>
              <w:bottom w:val="single" w:color="auto" w:sz="12" w:space="0"/>
            </w:tcBorders>
            <w:vAlign w:val="bottom"/>
          </w:tcPr>
          <w:p w14:paraId="0D1562EB">
            <w:pPr>
              <w:keepNext w:val="0"/>
              <w:keepLines w:val="0"/>
              <w:widowControl/>
              <w:suppressLineNumbers w:val="0"/>
              <w:spacing w:before="0" w:beforeAutospacing="0" w:after="0" w:afterAutospacing="0"/>
              <w:ind w:left="0" w:right="0"/>
              <w:jc w:val="center"/>
              <w:textAlignment w:val="bottom"/>
              <w:rPr>
                <w:rFonts w:hint="default" w:ascii="宋体"/>
                <w:b/>
                <w:kern w:val="0"/>
                <w:sz w:val="18"/>
                <w:szCs w:val="18"/>
                <w:highlight w:val="none"/>
              </w:rPr>
            </w:pPr>
            <w:r>
              <w:rPr>
                <w:rFonts w:hint="eastAsia" w:ascii="宋体" w:hAnsi="宋体" w:eastAsia="宋体" w:cs="宋体"/>
                <w:b/>
                <w:bCs/>
                <w:i w:val="0"/>
                <w:iCs w:val="0"/>
                <w:color w:val="000000"/>
                <w:kern w:val="0"/>
                <w:sz w:val="18"/>
                <w:szCs w:val="18"/>
                <w:highlight w:val="none"/>
                <w:u w:val="none"/>
                <w:lang w:val="en-US" w:eastAsia="zh-CN" w:bidi="ar"/>
              </w:rPr>
              <w:t>使用权资产账面价值</w:t>
            </w:r>
          </w:p>
        </w:tc>
        <w:tc>
          <w:tcPr>
            <w:tcW w:w="1561" w:type="dxa"/>
            <w:tcBorders>
              <w:bottom w:val="single" w:color="auto" w:sz="12" w:space="0"/>
            </w:tcBorders>
            <w:shd w:val="clear" w:color="auto" w:fill="auto"/>
            <w:vAlign w:val="bottom"/>
          </w:tcPr>
          <w:p w14:paraId="239BC92C">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1,094,019.38</w:t>
            </w:r>
          </w:p>
        </w:tc>
        <w:tc>
          <w:tcPr>
            <w:tcW w:w="1645" w:type="dxa"/>
            <w:tcBorders>
              <w:bottom w:val="single" w:color="auto" w:sz="12" w:space="0"/>
            </w:tcBorders>
            <w:vAlign w:val="bottom"/>
          </w:tcPr>
          <w:p w14:paraId="150307B6">
            <w:pPr>
              <w:keepNext w:val="0"/>
              <w:keepLines w:val="0"/>
              <w:widowControl/>
              <w:suppressLineNumbers w:val="0"/>
              <w:spacing w:before="0" w:beforeAutospacing="0" w:after="0" w:afterAutospacing="0"/>
              <w:ind w:left="0" w:right="0"/>
              <w:jc w:val="right"/>
              <w:textAlignment w:val="bottom"/>
              <w:rPr>
                <w:rFonts w:hint="default" w:ascii="宋体" w:hAnsi="宋体" w:eastAsia="宋体"/>
                <w:color w:val="000000"/>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1,685,014.81</w:t>
            </w:r>
          </w:p>
        </w:tc>
        <w:tc>
          <w:tcPr>
            <w:tcW w:w="1537" w:type="dxa"/>
            <w:tcBorders>
              <w:bottom w:val="single" w:color="auto" w:sz="12" w:space="0"/>
            </w:tcBorders>
            <w:vAlign w:val="bottom"/>
          </w:tcPr>
          <w:p w14:paraId="1F0B2CDE">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1831" w:type="dxa"/>
            <w:tcBorders>
              <w:bottom w:val="single" w:color="auto" w:sz="12" w:space="0"/>
            </w:tcBorders>
            <w:vAlign w:val="bottom"/>
          </w:tcPr>
          <w:p w14:paraId="3759D3B1">
            <w:pPr>
              <w:keepNext w:val="0"/>
              <w:keepLines w:val="0"/>
              <w:widowControl/>
              <w:suppressLineNumbers w:val="0"/>
              <w:spacing w:before="0" w:beforeAutospacing="0" w:after="0" w:afterAutospacing="0"/>
              <w:ind w:left="0" w:right="0"/>
              <w:jc w:val="right"/>
              <w:textAlignment w:val="bottom"/>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2,779,034.19</w:t>
            </w:r>
          </w:p>
        </w:tc>
      </w:tr>
    </w:tbl>
    <w:p w14:paraId="14EEFA28">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六</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递延所得税资产</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44"/>
        <w:gridCol w:w="2690"/>
        <w:gridCol w:w="2688"/>
      </w:tblGrid>
      <w:tr w14:paraId="67F68E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0B609BE8">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90" w:type="dxa"/>
            <w:vAlign w:val="center"/>
          </w:tcPr>
          <w:p w14:paraId="3B4EBFE4">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88" w:type="dxa"/>
            <w:vAlign w:val="center"/>
          </w:tcPr>
          <w:p w14:paraId="1DEB2352">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44F813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2FEB46D6">
            <w:pPr>
              <w:keepNext w:val="0"/>
              <w:keepLines w:val="0"/>
              <w:widowControl/>
              <w:suppressLineNumbers w:val="0"/>
              <w:spacing w:before="0" w:beforeAutospacing="0" w:after="0" w:afterAutospacing="0"/>
              <w:ind w:left="0" w:right="0"/>
              <w:jc w:val="both"/>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贷款损失准备</w:t>
            </w:r>
          </w:p>
        </w:tc>
        <w:tc>
          <w:tcPr>
            <w:tcW w:w="2690" w:type="dxa"/>
            <w:vAlign w:val="center"/>
          </w:tcPr>
          <w:p w14:paraId="53BB3E36">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9,617,194.6</w:t>
            </w:r>
            <w:r>
              <w:rPr>
                <w:rFonts w:hint="eastAsia" w:ascii="宋体" w:hAnsi="宋体" w:cs="宋体"/>
                <w:i w:val="0"/>
                <w:iCs w:val="0"/>
                <w:color w:val="000000"/>
                <w:kern w:val="0"/>
                <w:sz w:val="21"/>
                <w:szCs w:val="21"/>
                <w:highlight w:val="none"/>
                <w:u w:val="none"/>
                <w:lang w:val="en-US" w:eastAsia="zh-CN" w:bidi="ar"/>
              </w:rPr>
              <w:t>7</w:t>
            </w:r>
          </w:p>
        </w:tc>
        <w:tc>
          <w:tcPr>
            <w:tcW w:w="2688" w:type="dxa"/>
            <w:vAlign w:val="center"/>
          </w:tcPr>
          <w:p w14:paraId="22F141FB">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3,628,432.6</w:t>
            </w:r>
            <w:r>
              <w:rPr>
                <w:rFonts w:hint="eastAsia" w:ascii="宋体" w:hAnsi="宋体" w:cs="宋体"/>
                <w:i w:val="0"/>
                <w:iCs w:val="0"/>
                <w:color w:val="000000"/>
                <w:kern w:val="0"/>
                <w:sz w:val="21"/>
                <w:szCs w:val="21"/>
                <w:highlight w:val="none"/>
                <w:u w:val="none"/>
                <w:lang w:val="en-US" w:eastAsia="zh-CN" w:bidi="ar"/>
              </w:rPr>
              <w:t>6</w:t>
            </w:r>
          </w:p>
        </w:tc>
      </w:tr>
      <w:tr w14:paraId="7256DB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6B0029EA">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90" w:type="dxa"/>
            <w:vAlign w:val="center"/>
          </w:tcPr>
          <w:p w14:paraId="3DCD968C">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9,617,194.6</w:t>
            </w:r>
            <w:r>
              <w:rPr>
                <w:rFonts w:hint="eastAsia" w:ascii="宋体" w:hAnsi="宋体" w:cs="宋体"/>
                <w:i w:val="0"/>
                <w:iCs w:val="0"/>
                <w:color w:val="000000"/>
                <w:kern w:val="0"/>
                <w:sz w:val="21"/>
                <w:szCs w:val="21"/>
                <w:highlight w:val="none"/>
                <w:u w:val="none"/>
                <w:lang w:val="en-US" w:eastAsia="zh-CN" w:bidi="ar"/>
              </w:rPr>
              <w:t>7</w:t>
            </w:r>
          </w:p>
        </w:tc>
        <w:tc>
          <w:tcPr>
            <w:tcW w:w="2688" w:type="dxa"/>
            <w:vAlign w:val="center"/>
          </w:tcPr>
          <w:p w14:paraId="078AF987">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3,628,432.6</w:t>
            </w:r>
            <w:r>
              <w:rPr>
                <w:rFonts w:hint="eastAsia" w:ascii="宋体" w:hAnsi="宋体" w:cs="宋体"/>
                <w:i w:val="0"/>
                <w:iCs w:val="0"/>
                <w:color w:val="000000"/>
                <w:kern w:val="0"/>
                <w:sz w:val="21"/>
                <w:szCs w:val="21"/>
                <w:highlight w:val="none"/>
                <w:u w:val="none"/>
                <w:lang w:val="en-US" w:eastAsia="zh-CN" w:bidi="ar"/>
              </w:rPr>
              <w:t>6</w:t>
            </w:r>
          </w:p>
        </w:tc>
      </w:tr>
    </w:tbl>
    <w:p w14:paraId="419EA70E">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七</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其他资产</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46"/>
        <w:gridCol w:w="2688"/>
        <w:gridCol w:w="2688"/>
      </w:tblGrid>
      <w:tr w14:paraId="0D5A41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top w:val="single" w:color="auto" w:sz="12" w:space="0"/>
            </w:tcBorders>
            <w:vAlign w:val="center"/>
          </w:tcPr>
          <w:p w14:paraId="4B892E81">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88" w:type="dxa"/>
            <w:tcBorders>
              <w:top w:val="single" w:color="auto" w:sz="12" w:space="0"/>
            </w:tcBorders>
            <w:vAlign w:val="center"/>
          </w:tcPr>
          <w:p w14:paraId="7D8E3631">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88" w:type="dxa"/>
            <w:tcBorders>
              <w:top w:val="single" w:color="auto" w:sz="12" w:space="0"/>
            </w:tcBorders>
            <w:vAlign w:val="center"/>
          </w:tcPr>
          <w:p w14:paraId="283697DF">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73B7A5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9" w:hRule="atLeast"/>
          <w:tblHeader/>
          <w:jc w:val="center"/>
        </w:trPr>
        <w:tc>
          <w:tcPr>
            <w:tcW w:w="3146" w:type="dxa"/>
            <w:vAlign w:val="center"/>
          </w:tcPr>
          <w:p w14:paraId="46A015B8">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其他应收款账面余额</w:t>
            </w:r>
          </w:p>
        </w:tc>
        <w:tc>
          <w:tcPr>
            <w:tcW w:w="2688" w:type="dxa"/>
            <w:vAlign w:val="center"/>
          </w:tcPr>
          <w:p w14:paraId="31DA756F">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2"/>
                <w:szCs w:val="22"/>
                <w:highlight w:val="none"/>
                <w:u w:val="none"/>
                <w:lang w:val="en-US" w:eastAsia="zh-CN" w:bidi="ar"/>
              </w:rPr>
              <w:t>4,576,602.27</w:t>
            </w:r>
          </w:p>
        </w:tc>
        <w:tc>
          <w:tcPr>
            <w:tcW w:w="2688" w:type="dxa"/>
            <w:vAlign w:val="center"/>
          </w:tcPr>
          <w:p w14:paraId="3F6F840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313,702.37</w:t>
            </w:r>
          </w:p>
        </w:tc>
      </w:tr>
      <w:tr w14:paraId="0BD997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vAlign w:val="center"/>
          </w:tcPr>
          <w:p w14:paraId="6869504C">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减：坏账准备</w:t>
            </w:r>
          </w:p>
        </w:tc>
        <w:tc>
          <w:tcPr>
            <w:tcW w:w="2688" w:type="dxa"/>
            <w:vAlign w:val="center"/>
          </w:tcPr>
          <w:p w14:paraId="13F1362D">
            <w:pPr>
              <w:keepNext w:val="0"/>
              <w:keepLines w:val="0"/>
              <w:suppressLineNumbers w:val="0"/>
              <w:spacing w:before="0" w:beforeAutospacing="0" w:after="0" w:afterAutospacing="0"/>
              <w:ind w:left="0" w:right="0"/>
              <w:jc w:val="right"/>
              <w:rPr>
                <w:rFonts w:hint="default" w:ascii="宋体" w:hAnsi="宋体"/>
                <w:highlight w:val="none"/>
              </w:rPr>
            </w:pPr>
          </w:p>
        </w:tc>
        <w:tc>
          <w:tcPr>
            <w:tcW w:w="2688" w:type="dxa"/>
            <w:vAlign w:val="center"/>
          </w:tcPr>
          <w:p w14:paraId="31010010">
            <w:pPr>
              <w:keepNext w:val="0"/>
              <w:keepLines w:val="0"/>
              <w:suppressLineNumbers w:val="0"/>
              <w:spacing w:before="0" w:beforeAutospacing="0" w:after="0" w:afterAutospacing="0"/>
              <w:ind w:left="0" w:right="0"/>
              <w:jc w:val="right"/>
              <w:rPr>
                <w:rFonts w:hint="default" w:ascii="宋体" w:hAnsi="宋体"/>
                <w:highlight w:val="none"/>
              </w:rPr>
            </w:pPr>
          </w:p>
        </w:tc>
      </w:tr>
      <w:tr w14:paraId="6B6792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bottom w:val="dotted" w:color="auto" w:sz="4" w:space="0"/>
            </w:tcBorders>
            <w:vAlign w:val="center"/>
          </w:tcPr>
          <w:p w14:paraId="76149C5C">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其他应收款净额</w:t>
            </w:r>
          </w:p>
        </w:tc>
        <w:tc>
          <w:tcPr>
            <w:tcW w:w="2688" w:type="dxa"/>
            <w:tcBorders>
              <w:bottom w:val="dotted" w:color="auto" w:sz="4" w:space="0"/>
            </w:tcBorders>
            <w:vAlign w:val="center"/>
          </w:tcPr>
          <w:p w14:paraId="6318CD9B">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4,576,602.27</w:t>
            </w:r>
          </w:p>
        </w:tc>
        <w:tc>
          <w:tcPr>
            <w:tcW w:w="2688" w:type="dxa"/>
            <w:tcBorders>
              <w:bottom w:val="dotted" w:color="auto" w:sz="4" w:space="0"/>
            </w:tcBorders>
            <w:vAlign w:val="center"/>
          </w:tcPr>
          <w:p w14:paraId="0CF53E10">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313,702.37</w:t>
            </w:r>
          </w:p>
        </w:tc>
      </w:tr>
      <w:tr w14:paraId="604490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bottom w:val="dotted" w:color="auto" w:sz="4" w:space="0"/>
            </w:tcBorders>
            <w:vAlign w:val="center"/>
          </w:tcPr>
          <w:p w14:paraId="551E55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暂付款</w:t>
            </w:r>
          </w:p>
        </w:tc>
        <w:tc>
          <w:tcPr>
            <w:tcW w:w="2688" w:type="dxa"/>
            <w:tcBorders>
              <w:bottom w:val="dotted" w:color="auto" w:sz="4" w:space="0"/>
            </w:tcBorders>
            <w:vAlign w:val="center"/>
          </w:tcPr>
          <w:p w14:paraId="61634E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152.09</w:t>
            </w:r>
          </w:p>
        </w:tc>
        <w:tc>
          <w:tcPr>
            <w:tcW w:w="2688" w:type="dxa"/>
            <w:tcBorders>
              <w:bottom w:val="dotted" w:color="auto" w:sz="4" w:space="0"/>
            </w:tcBorders>
            <w:vAlign w:val="center"/>
          </w:tcPr>
          <w:p w14:paraId="673A82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kern w:val="0"/>
                <w:sz w:val="21"/>
                <w:szCs w:val="21"/>
                <w:highlight w:val="none"/>
                <w:u w:val="none"/>
                <w:lang w:val="en-US" w:eastAsia="zh-CN" w:bidi="ar"/>
              </w:rPr>
            </w:pPr>
          </w:p>
        </w:tc>
      </w:tr>
      <w:tr w14:paraId="11E68F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bottom w:val="dotted" w:color="auto" w:sz="4" w:space="0"/>
            </w:tcBorders>
            <w:vAlign w:val="center"/>
          </w:tcPr>
          <w:p w14:paraId="6C948C59">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长期待摊费用</w:t>
            </w:r>
          </w:p>
        </w:tc>
        <w:tc>
          <w:tcPr>
            <w:tcW w:w="2688" w:type="dxa"/>
            <w:tcBorders>
              <w:bottom w:val="dotted" w:color="auto" w:sz="4" w:space="0"/>
            </w:tcBorders>
            <w:vAlign w:val="center"/>
          </w:tcPr>
          <w:p w14:paraId="4D6A78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808,974.55</w:t>
            </w:r>
          </w:p>
        </w:tc>
        <w:tc>
          <w:tcPr>
            <w:tcW w:w="2688" w:type="dxa"/>
            <w:tcBorders>
              <w:bottom w:val="dotted" w:color="auto" w:sz="4" w:space="0"/>
            </w:tcBorders>
            <w:vAlign w:val="center"/>
          </w:tcPr>
          <w:p w14:paraId="6ECCB8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1,864,431.67</w:t>
            </w:r>
          </w:p>
        </w:tc>
      </w:tr>
      <w:tr w14:paraId="057BCB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bottom w:val="dotted" w:color="auto" w:sz="4" w:space="0"/>
            </w:tcBorders>
            <w:vAlign w:val="center"/>
          </w:tcPr>
          <w:p w14:paraId="06475047">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应收利息</w:t>
            </w:r>
          </w:p>
        </w:tc>
        <w:tc>
          <w:tcPr>
            <w:tcW w:w="2688" w:type="dxa"/>
            <w:tcBorders>
              <w:bottom w:val="dotted" w:color="auto" w:sz="4" w:space="0"/>
            </w:tcBorders>
            <w:shd w:val="clear" w:color="auto" w:fill="auto"/>
            <w:vAlign w:val="center"/>
          </w:tcPr>
          <w:p w14:paraId="1FC310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1,496,739.74</w:t>
            </w:r>
          </w:p>
        </w:tc>
        <w:tc>
          <w:tcPr>
            <w:tcW w:w="2688" w:type="dxa"/>
            <w:tcBorders>
              <w:bottom w:val="dotted" w:color="auto" w:sz="4" w:space="0"/>
            </w:tcBorders>
            <w:vAlign w:val="center"/>
          </w:tcPr>
          <w:p w14:paraId="70BBBC30">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176,632.07</w:t>
            </w:r>
          </w:p>
        </w:tc>
      </w:tr>
      <w:tr w14:paraId="3C4458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bottom w:val="dotted" w:color="auto" w:sz="4" w:space="0"/>
            </w:tcBorders>
            <w:vAlign w:val="center"/>
          </w:tcPr>
          <w:p w14:paraId="53D65545">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代理业务资产清算</w:t>
            </w:r>
          </w:p>
        </w:tc>
        <w:tc>
          <w:tcPr>
            <w:tcW w:w="2688" w:type="dxa"/>
            <w:tcBorders>
              <w:bottom w:val="dotted" w:color="auto" w:sz="4" w:space="0"/>
            </w:tcBorders>
            <w:vAlign w:val="center"/>
          </w:tcPr>
          <w:p w14:paraId="52F9AD07">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664,336.86</w:t>
            </w:r>
          </w:p>
        </w:tc>
        <w:tc>
          <w:tcPr>
            <w:tcW w:w="2688" w:type="dxa"/>
            <w:tcBorders>
              <w:bottom w:val="dotted" w:color="auto" w:sz="4" w:space="0"/>
            </w:tcBorders>
            <w:vAlign w:val="center"/>
          </w:tcPr>
          <w:p w14:paraId="1FF7B0D3">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99,151.80</w:t>
            </w:r>
          </w:p>
        </w:tc>
      </w:tr>
      <w:tr w14:paraId="638DA3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146" w:type="dxa"/>
            <w:tcBorders>
              <w:top w:val="dotted" w:color="auto" w:sz="4" w:space="0"/>
              <w:bottom w:val="single" w:color="auto" w:sz="12" w:space="0"/>
            </w:tcBorders>
            <w:vAlign w:val="center"/>
          </w:tcPr>
          <w:p w14:paraId="49275FDE">
            <w:pPr>
              <w:keepNext w:val="0"/>
              <w:keepLines w:val="0"/>
              <w:widowControl/>
              <w:suppressLineNumbers w:val="0"/>
              <w:spacing w:before="0" w:beforeAutospacing="0" w:after="0" w:afterAutospacing="0"/>
              <w:ind w:left="0" w:right="0"/>
              <w:jc w:val="center"/>
              <w:textAlignment w:val="center"/>
              <w:rPr>
                <w:rFonts w:hint="default" w:ascii="宋体" w:hAnsi="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88" w:type="dxa"/>
            <w:tcBorders>
              <w:top w:val="dotted" w:color="auto" w:sz="4" w:space="0"/>
              <w:bottom w:val="single" w:color="auto" w:sz="12" w:space="0"/>
            </w:tcBorders>
            <w:vAlign w:val="center"/>
          </w:tcPr>
          <w:p w14:paraId="7B7C9F6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7,546,805.51</w:t>
            </w:r>
          </w:p>
        </w:tc>
        <w:tc>
          <w:tcPr>
            <w:tcW w:w="2688" w:type="dxa"/>
            <w:tcBorders>
              <w:top w:val="dotted" w:color="auto" w:sz="4" w:space="0"/>
              <w:bottom w:val="single" w:color="auto" w:sz="12" w:space="0"/>
            </w:tcBorders>
            <w:vAlign w:val="center"/>
          </w:tcPr>
          <w:p w14:paraId="6C2C5DEE">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2,453,917.91</w:t>
            </w:r>
          </w:p>
        </w:tc>
      </w:tr>
    </w:tbl>
    <w:p w14:paraId="5BF77644">
      <w:pPr>
        <w:pStyle w:val="3"/>
        <w:keepNext w:val="0"/>
        <w:keepLines w:val="0"/>
        <w:tabs>
          <w:tab w:val="left" w:pos="851"/>
        </w:tabs>
        <w:spacing w:before="0" w:after="0" w:line="480" w:lineRule="exact"/>
        <w:ind w:left="482"/>
        <w:rPr>
          <w:rFonts w:ascii="宋体" w:hAnsi="宋体" w:eastAsia="宋体" w:cs="宋体"/>
          <w:bCs w:val="0"/>
          <w:sz w:val="24"/>
          <w:szCs w:val="24"/>
          <w:highlight w:val="none"/>
        </w:rPr>
      </w:pPr>
      <w:r>
        <w:rPr>
          <w:rFonts w:ascii="宋体" w:hAnsi="宋体" w:eastAsia="宋体" w:cs="宋体"/>
          <w:bCs w:val="0"/>
          <w:sz w:val="24"/>
          <w:szCs w:val="24"/>
          <w:highlight w:val="none"/>
        </w:rPr>
        <w:t>1</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其他应收款</w:t>
      </w:r>
    </w:p>
    <w:p w14:paraId="11C8C6AD">
      <w:pPr>
        <w:tabs>
          <w:tab w:val="left" w:pos="0"/>
        </w:tabs>
        <w:spacing w:line="480" w:lineRule="exact"/>
        <w:ind w:firstLine="480" w:firstLineChars="200"/>
        <w:rPr>
          <w:rFonts w:ascii="宋体" w:hAnsi="宋体"/>
          <w:sz w:val="24"/>
          <w:szCs w:val="24"/>
          <w:highlight w:val="none"/>
        </w:rPr>
      </w:pPr>
      <w:r>
        <w:rPr>
          <w:rFonts w:hint="eastAsia" w:ascii="宋体" w:hAnsi="宋体" w:cs="宋体"/>
          <w:sz w:val="24"/>
          <w:szCs w:val="24"/>
          <w:highlight w:val="none"/>
        </w:rPr>
        <w:t>按照其他应收款的账龄列示如下：</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44"/>
        <w:gridCol w:w="2690"/>
        <w:gridCol w:w="2688"/>
      </w:tblGrid>
      <w:tr w14:paraId="4887C1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54" w:hRule="atLeast"/>
          <w:tblHeader/>
          <w:jc w:val="center"/>
        </w:trPr>
        <w:tc>
          <w:tcPr>
            <w:tcW w:w="3144" w:type="dxa"/>
            <w:vAlign w:val="center"/>
          </w:tcPr>
          <w:p w14:paraId="2B8C8A9F">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90" w:type="dxa"/>
            <w:vAlign w:val="center"/>
          </w:tcPr>
          <w:p w14:paraId="34FAD306">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88" w:type="dxa"/>
            <w:vAlign w:val="center"/>
          </w:tcPr>
          <w:p w14:paraId="0573A7B7">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2654C6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1A442943">
            <w:pPr>
              <w:keepNext w:val="0"/>
              <w:keepLines w:val="0"/>
              <w:widowControl/>
              <w:suppressLineNumbers w:val="0"/>
              <w:spacing w:before="0" w:beforeAutospacing="0" w:after="0" w:afterAutospacing="0"/>
              <w:ind w:left="0" w:right="0"/>
              <w:jc w:val="both"/>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1年以内</w:t>
            </w:r>
          </w:p>
        </w:tc>
        <w:tc>
          <w:tcPr>
            <w:tcW w:w="2690" w:type="dxa"/>
            <w:vAlign w:val="center"/>
          </w:tcPr>
          <w:p w14:paraId="5D5083FE">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4,356,450.53</w:t>
            </w:r>
          </w:p>
        </w:tc>
        <w:tc>
          <w:tcPr>
            <w:tcW w:w="2688" w:type="dxa"/>
            <w:vAlign w:val="center"/>
          </w:tcPr>
          <w:p w14:paraId="2686115E">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163,965.37</w:t>
            </w:r>
          </w:p>
        </w:tc>
      </w:tr>
      <w:tr w14:paraId="166166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4536048E">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1-2年</w:t>
            </w:r>
          </w:p>
        </w:tc>
        <w:tc>
          <w:tcPr>
            <w:tcW w:w="2690" w:type="dxa"/>
            <w:vAlign w:val="center"/>
          </w:tcPr>
          <w:p w14:paraId="0E11F81C">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86,561.74</w:t>
            </w:r>
          </w:p>
        </w:tc>
        <w:tc>
          <w:tcPr>
            <w:tcW w:w="2688" w:type="dxa"/>
            <w:vAlign w:val="center"/>
          </w:tcPr>
          <w:p w14:paraId="5E0A4558">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11264</w:t>
            </w:r>
          </w:p>
        </w:tc>
      </w:tr>
      <w:tr w14:paraId="7886DC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0115D2D3">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2-3年</w:t>
            </w:r>
          </w:p>
        </w:tc>
        <w:tc>
          <w:tcPr>
            <w:tcW w:w="2690" w:type="dxa"/>
            <w:vAlign w:val="center"/>
          </w:tcPr>
          <w:p w14:paraId="39975AFB">
            <w:pPr>
              <w:keepNext w:val="0"/>
              <w:keepLines w:val="0"/>
              <w:widowControl/>
              <w:suppressLineNumbers w:val="0"/>
              <w:spacing w:before="0" w:beforeAutospacing="0" w:after="0" w:afterAutospacing="0"/>
              <w:ind w:left="0" w:right="0"/>
              <w:jc w:val="right"/>
              <w:textAlignment w:val="center"/>
              <w:rPr>
                <w:rFonts w:hint="default" w:ascii="宋体" w:hAnsi="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3,590.00</w:t>
            </w:r>
          </w:p>
        </w:tc>
        <w:tc>
          <w:tcPr>
            <w:tcW w:w="2688" w:type="dxa"/>
            <w:vAlign w:val="center"/>
          </w:tcPr>
          <w:p w14:paraId="435E5789">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17,473.00</w:t>
            </w:r>
          </w:p>
        </w:tc>
      </w:tr>
      <w:tr w14:paraId="14C2F8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0737181E">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3年以上</w:t>
            </w:r>
          </w:p>
        </w:tc>
        <w:tc>
          <w:tcPr>
            <w:tcW w:w="2690" w:type="dxa"/>
            <w:vAlign w:val="center"/>
          </w:tcPr>
          <w:p w14:paraId="47674A13">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130,000.00</w:t>
            </w:r>
          </w:p>
        </w:tc>
        <w:tc>
          <w:tcPr>
            <w:tcW w:w="2688" w:type="dxa"/>
            <w:vAlign w:val="center"/>
          </w:tcPr>
          <w:p w14:paraId="6DC38AEA">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121,000.00</w:t>
            </w:r>
          </w:p>
        </w:tc>
      </w:tr>
      <w:tr w14:paraId="61EF2A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61032CA4">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90" w:type="dxa"/>
            <w:vAlign w:val="center"/>
          </w:tcPr>
          <w:p w14:paraId="416DB419">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4,576,602.27</w:t>
            </w:r>
          </w:p>
        </w:tc>
        <w:tc>
          <w:tcPr>
            <w:tcW w:w="2688" w:type="dxa"/>
            <w:vAlign w:val="center"/>
          </w:tcPr>
          <w:p w14:paraId="71FAD732">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313,702.37</w:t>
            </w:r>
          </w:p>
        </w:tc>
      </w:tr>
    </w:tbl>
    <w:p w14:paraId="2C8DA8CC">
      <w:pPr>
        <w:pStyle w:val="35"/>
        <w:spacing w:line="20" w:lineRule="exact"/>
        <w:ind w:firstLine="480" w:firstLineChars="200"/>
        <w:rPr>
          <w:rFonts w:ascii="宋体" w:hAnsi="宋体" w:eastAsia="宋体" w:cs="Times New Roman"/>
          <w:highlight w:val="none"/>
        </w:rPr>
      </w:pPr>
    </w:p>
    <w:p w14:paraId="0A4776E1">
      <w:pPr>
        <w:pStyle w:val="3"/>
        <w:keepNext w:val="0"/>
        <w:keepLines w:val="0"/>
        <w:tabs>
          <w:tab w:val="left" w:pos="851"/>
        </w:tabs>
        <w:spacing w:before="0" w:after="0" w:line="480" w:lineRule="exact"/>
        <w:ind w:left="482"/>
        <w:rPr>
          <w:rFonts w:ascii="宋体" w:hAnsi="宋体" w:eastAsia="宋体" w:cs="宋体"/>
          <w:bCs w:val="0"/>
          <w:sz w:val="24"/>
          <w:szCs w:val="24"/>
          <w:highlight w:val="none"/>
        </w:rPr>
      </w:pPr>
      <w:r>
        <w:rPr>
          <w:rFonts w:hint="eastAsia" w:ascii="宋体" w:hAnsi="宋体" w:eastAsia="宋体" w:cs="宋体"/>
          <w:bCs w:val="0"/>
          <w:sz w:val="24"/>
          <w:szCs w:val="24"/>
          <w:highlight w:val="none"/>
        </w:rPr>
        <w:t>2</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长期待摊费用</w:t>
      </w:r>
    </w:p>
    <w:tbl>
      <w:tblPr>
        <w:tblStyle w:val="22"/>
        <w:tblW w:w="850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71"/>
        <w:gridCol w:w="1554"/>
        <w:gridCol w:w="1568"/>
        <w:gridCol w:w="1513"/>
        <w:gridCol w:w="1800"/>
      </w:tblGrid>
      <w:tr w14:paraId="6AFE98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tblHeader/>
          <w:jc w:val="center"/>
        </w:trPr>
        <w:tc>
          <w:tcPr>
            <w:tcW w:w="2071" w:type="dxa"/>
            <w:tcBorders>
              <w:top w:val="single" w:color="auto" w:sz="12" w:space="0"/>
            </w:tcBorders>
            <w:vAlign w:val="center"/>
          </w:tcPr>
          <w:p w14:paraId="3B0680D9">
            <w:pPr>
              <w:keepNext w:val="0"/>
              <w:keepLines w:val="0"/>
              <w:widowControl/>
              <w:suppressLineNumbers w:val="0"/>
              <w:spacing w:before="0" w:beforeAutospacing="0" w:after="0" w:afterAutospacing="0"/>
              <w:ind w:left="0" w:right="0"/>
              <w:jc w:val="center"/>
              <w:textAlignment w:val="center"/>
              <w:rPr>
                <w:rFonts w:hint="default"/>
                <w:kern w:val="0"/>
                <w:sz w:val="18"/>
                <w:szCs w:val="18"/>
                <w:highlight w:val="none"/>
              </w:rPr>
            </w:pPr>
            <w:bookmarkStart w:id="4" w:name="_Hlk100497093"/>
            <w:r>
              <w:rPr>
                <w:rFonts w:hint="eastAsia" w:ascii="宋体" w:hAnsi="宋体" w:eastAsia="宋体" w:cs="宋体"/>
                <w:i w:val="0"/>
                <w:iCs w:val="0"/>
                <w:color w:val="000000"/>
                <w:kern w:val="0"/>
                <w:sz w:val="18"/>
                <w:szCs w:val="18"/>
                <w:highlight w:val="none"/>
                <w:u w:val="none"/>
                <w:lang w:val="en-US" w:eastAsia="zh-CN" w:bidi="ar"/>
              </w:rPr>
              <w:t>项目</w:t>
            </w:r>
          </w:p>
        </w:tc>
        <w:tc>
          <w:tcPr>
            <w:tcW w:w="1554" w:type="dxa"/>
            <w:tcBorders>
              <w:top w:val="single" w:color="auto" w:sz="12" w:space="0"/>
            </w:tcBorders>
            <w:vAlign w:val="center"/>
          </w:tcPr>
          <w:p w14:paraId="58688580">
            <w:pPr>
              <w:keepNext w:val="0"/>
              <w:keepLines w:val="0"/>
              <w:widowControl/>
              <w:suppressLineNumbers w:val="0"/>
              <w:spacing w:before="0" w:beforeAutospacing="0" w:after="0" w:afterAutospacing="0"/>
              <w:ind w:left="0" w:right="0"/>
              <w:jc w:val="center"/>
              <w:textAlignment w:val="center"/>
              <w:rPr>
                <w:rFonts w:hint="default"/>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上年年末余额</w:t>
            </w:r>
          </w:p>
        </w:tc>
        <w:tc>
          <w:tcPr>
            <w:tcW w:w="1568" w:type="dxa"/>
            <w:tcBorders>
              <w:top w:val="single" w:color="auto" w:sz="12" w:space="0"/>
            </w:tcBorders>
            <w:vAlign w:val="center"/>
          </w:tcPr>
          <w:p w14:paraId="191936E4">
            <w:pPr>
              <w:keepNext w:val="0"/>
              <w:keepLines w:val="0"/>
              <w:widowControl/>
              <w:suppressLineNumbers w:val="0"/>
              <w:spacing w:before="0" w:beforeAutospacing="0" w:after="0" w:afterAutospacing="0"/>
              <w:ind w:left="0" w:right="0"/>
              <w:jc w:val="center"/>
              <w:textAlignment w:val="center"/>
              <w:rPr>
                <w:rFonts w:hint="default"/>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本期增加额</w:t>
            </w:r>
          </w:p>
        </w:tc>
        <w:tc>
          <w:tcPr>
            <w:tcW w:w="1513" w:type="dxa"/>
            <w:tcBorders>
              <w:top w:val="single" w:color="auto" w:sz="12" w:space="0"/>
            </w:tcBorders>
            <w:vAlign w:val="center"/>
          </w:tcPr>
          <w:p w14:paraId="13D62520">
            <w:pPr>
              <w:keepNext w:val="0"/>
              <w:keepLines w:val="0"/>
              <w:widowControl/>
              <w:suppressLineNumbers w:val="0"/>
              <w:spacing w:before="0" w:beforeAutospacing="0" w:after="0" w:afterAutospacing="0"/>
              <w:ind w:left="0" w:right="0"/>
              <w:jc w:val="center"/>
              <w:textAlignment w:val="center"/>
              <w:rPr>
                <w:rFonts w:hint="default"/>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本期摊销额</w:t>
            </w:r>
          </w:p>
        </w:tc>
        <w:tc>
          <w:tcPr>
            <w:tcW w:w="1800" w:type="dxa"/>
            <w:tcBorders>
              <w:top w:val="single" w:color="auto" w:sz="12" w:space="0"/>
            </w:tcBorders>
            <w:vAlign w:val="center"/>
          </w:tcPr>
          <w:p w14:paraId="528222CD">
            <w:pPr>
              <w:keepNext w:val="0"/>
              <w:keepLines w:val="0"/>
              <w:widowControl/>
              <w:suppressLineNumbers w:val="0"/>
              <w:spacing w:before="0" w:beforeAutospacing="0" w:after="0" w:afterAutospacing="0"/>
              <w:ind w:left="0" w:right="0"/>
              <w:jc w:val="center"/>
              <w:textAlignment w:val="center"/>
              <w:rPr>
                <w:rFonts w:hint="default"/>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期末余额</w:t>
            </w:r>
          </w:p>
        </w:tc>
      </w:tr>
      <w:tr w14:paraId="6EC1B5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03ED88AF">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总行装修款</w:t>
            </w:r>
          </w:p>
        </w:tc>
        <w:tc>
          <w:tcPr>
            <w:tcW w:w="1554" w:type="dxa"/>
            <w:vAlign w:val="center"/>
          </w:tcPr>
          <w:p w14:paraId="30798BC0">
            <w:pPr>
              <w:keepNext w:val="0"/>
              <w:keepLines w:val="0"/>
              <w:suppressLineNumbers w:val="0"/>
              <w:spacing w:before="0" w:beforeAutospacing="0" w:after="0" w:afterAutospacing="0"/>
              <w:ind w:left="0" w:right="0"/>
              <w:jc w:val="right"/>
              <w:rPr>
                <w:rFonts w:hint="default" w:ascii="宋体" w:hAnsi="宋体"/>
                <w:highlight w:val="none"/>
              </w:rPr>
            </w:pPr>
          </w:p>
        </w:tc>
        <w:tc>
          <w:tcPr>
            <w:tcW w:w="1568" w:type="dxa"/>
            <w:vAlign w:val="center"/>
          </w:tcPr>
          <w:p w14:paraId="5F430D58">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367289B4">
            <w:pPr>
              <w:keepNext w:val="0"/>
              <w:keepLines w:val="0"/>
              <w:suppressLineNumbers w:val="0"/>
              <w:spacing w:before="0" w:beforeAutospacing="0" w:after="0" w:afterAutospacing="0"/>
              <w:ind w:left="0" w:right="0"/>
              <w:jc w:val="right"/>
              <w:rPr>
                <w:rFonts w:hint="default" w:ascii="宋体" w:hAnsi="宋体"/>
                <w:highlight w:val="none"/>
              </w:rPr>
            </w:pPr>
          </w:p>
        </w:tc>
        <w:tc>
          <w:tcPr>
            <w:tcW w:w="1800" w:type="dxa"/>
            <w:vAlign w:val="center"/>
          </w:tcPr>
          <w:p w14:paraId="60DC5C86">
            <w:pPr>
              <w:keepNext w:val="0"/>
              <w:keepLines w:val="0"/>
              <w:suppressLineNumbers w:val="0"/>
              <w:spacing w:before="0" w:beforeAutospacing="0" w:after="0" w:afterAutospacing="0"/>
              <w:ind w:left="0" w:right="0"/>
              <w:jc w:val="right"/>
              <w:rPr>
                <w:rFonts w:hint="default" w:ascii="宋体" w:hAnsi="宋体"/>
                <w:highlight w:val="none"/>
              </w:rPr>
            </w:pPr>
          </w:p>
        </w:tc>
      </w:tr>
      <w:tr w14:paraId="5C19A2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7878F3F9">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胜芳支行装修款</w:t>
            </w:r>
          </w:p>
        </w:tc>
        <w:tc>
          <w:tcPr>
            <w:tcW w:w="1554" w:type="dxa"/>
            <w:vAlign w:val="center"/>
          </w:tcPr>
          <w:p w14:paraId="7B498968">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200,961.48</w:t>
            </w:r>
          </w:p>
        </w:tc>
        <w:tc>
          <w:tcPr>
            <w:tcW w:w="1568" w:type="dxa"/>
            <w:vAlign w:val="center"/>
          </w:tcPr>
          <w:p w14:paraId="74ECEA9C">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2EB2FF58">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126,923.04</w:t>
            </w:r>
          </w:p>
        </w:tc>
        <w:tc>
          <w:tcPr>
            <w:tcW w:w="1800" w:type="dxa"/>
            <w:vAlign w:val="center"/>
          </w:tcPr>
          <w:p w14:paraId="57DC62A9">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74,038.44</w:t>
            </w:r>
          </w:p>
        </w:tc>
      </w:tr>
      <w:tr w14:paraId="6621CC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21C2FCB1">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胜芳支行装修款</w:t>
            </w:r>
          </w:p>
        </w:tc>
        <w:tc>
          <w:tcPr>
            <w:tcW w:w="1554" w:type="dxa"/>
            <w:vAlign w:val="center"/>
          </w:tcPr>
          <w:p w14:paraId="4BC0C4C4">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199,033.17</w:t>
            </w:r>
          </w:p>
        </w:tc>
        <w:tc>
          <w:tcPr>
            <w:tcW w:w="1568" w:type="dxa"/>
            <w:vAlign w:val="center"/>
          </w:tcPr>
          <w:p w14:paraId="0DE57E62">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2A78FB5D">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125,705.16</w:t>
            </w:r>
          </w:p>
        </w:tc>
        <w:tc>
          <w:tcPr>
            <w:tcW w:w="1800" w:type="dxa"/>
            <w:vAlign w:val="center"/>
          </w:tcPr>
          <w:p w14:paraId="4DF95114">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73,328.01</w:t>
            </w:r>
          </w:p>
        </w:tc>
      </w:tr>
      <w:tr w14:paraId="2D664F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5460C04B">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胜芳支行装修款</w:t>
            </w:r>
          </w:p>
        </w:tc>
        <w:tc>
          <w:tcPr>
            <w:tcW w:w="1554" w:type="dxa"/>
            <w:vAlign w:val="center"/>
          </w:tcPr>
          <w:p w14:paraId="0295A497">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76,137.37</w:t>
            </w:r>
          </w:p>
        </w:tc>
        <w:tc>
          <w:tcPr>
            <w:tcW w:w="1568" w:type="dxa"/>
            <w:vAlign w:val="center"/>
          </w:tcPr>
          <w:p w14:paraId="0F80B2FD">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625F03F5">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48,086.76</w:t>
            </w:r>
          </w:p>
        </w:tc>
        <w:tc>
          <w:tcPr>
            <w:tcW w:w="1800" w:type="dxa"/>
            <w:vAlign w:val="center"/>
          </w:tcPr>
          <w:p w14:paraId="68112528">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28,050.61</w:t>
            </w:r>
          </w:p>
        </w:tc>
      </w:tr>
      <w:tr w14:paraId="413D2B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3765F7B1">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南孟支行装修款</w:t>
            </w:r>
          </w:p>
        </w:tc>
        <w:tc>
          <w:tcPr>
            <w:tcW w:w="1554" w:type="dxa"/>
            <w:vAlign w:val="center"/>
          </w:tcPr>
          <w:p w14:paraId="63559C32">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586,066.50</w:t>
            </w:r>
          </w:p>
        </w:tc>
        <w:tc>
          <w:tcPr>
            <w:tcW w:w="1568" w:type="dxa"/>
            <w:vAlign w:val="center"/>
          </w:tcPr>
          <w:p w14:paraId="17F0421B">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316F1B57">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234,426.60</w:t>
            </w:r>
          </w:p>
        </w:tc>
        <w:tc>
          <w:tcPr>
            <w:tcW w:w="1800" w:type="dxa"/>
            <w:vAlign w:val="center"/>
          </w:tcPr>
          <w:p w14:paraId="61DBA126">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351,639.90</w:t>
            </w:r>
          </w:p>
        </w:tc>
      </w:tr>
      <w:tr w14:paraId="52F91F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532A8128">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煎茶铺支行装修款</w:t>
            </w:r>
          </w:p>
        </w:tc>
        <w:tc>
          <w:tcPr>
            <w:tcW w:w="1554" w:type="dxa"/>
            <w:vAlign w:val="center"/>
          </w:tcPr>
          <w:p w14:paraId="4B6694BF">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466,013.70</w:t>
            </w:r>
          </w:p>
        </w:tc>
        <w:tc>
          <w:tcPr>
            <w:tcW w:w="1568" w:type="dxa"/>
            <w:vAlign w:val="center"/>
          </w:tcPr>
          <w:p w14:paraId="1A22CCD8">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14F0C55C">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186,405.48</w:t>
            </w:r>
          </w:p>
        </w:tc>
        <w:tc>
          <w:tcPr>
            <w:tcW w:w="1800" w:type="dxa"/>
            <w:vAlign w:val="center"/>
          </w:tcPr>
          <w:p w14:paraId="5E2E3339">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279,608.22</w:t>
            </w:r>
          </w:p>
        </w:tc>
      </w:tr>
      <w:tr w14:paraId="3319C4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2AE8AFB6">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胜芳支行装修款</w:t>
            </w:r>
          </w:p>
        </w:tc>
        <w:tc>
          <w:tcPr>
            <w:tcW w:w="1554" w:type="dxa"/>
            <w:vAlign w:val="center"/>
          </w:tcPr>
          <w:p w14:paraId="1DE5EAA4">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6,268.29</w:t>
            </w:r>
          </w:p>
        </w:tc>
        <w:tc>
          <w:tcPr>
            <w:tcW w:w="1568" w:type="dxa"/>
            <w:vAlign w:val="center"/>
          </w:tcPr>
          <w:p w14:paraId="2F87FAE1">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2B550AD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3,958.92</w:t>
            </w:r>
          </w:p>
        </w:tc>
        <w:tc>
          <w:tcPr>
            <w:tcW w:w="1800" w:type="dxa"/>
            <w:vAlign w:val="center"/>
          </w:tcPr>
          <w:p w14:paraId="74B7A378">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2,309.37</w:t>
            </w:r>
          </w:p>
        </w:tc>
      </w:tr>
      <w:tr w14:paraId="690328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73A7F763">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建设道支行设计费</w:t>
            </w:r>
          </w:p>
        </w:tc>
        <w:tc>
          <w:tcPr>
            <w:tcW w:w="1554" w:type="dxa"/>
            <w:vAlign w:val="center"/>
          </w:tcPr>
          <w:p w14:paraId="092220F3">
            <w:pPr>
              <w:keepNext w:val="0"/>
              <w:keepLines w:val="0"/>
              <w:suppressLineNumbers w:val="0"/>
              <w:spacing w:before="0" w:beforeAutospacing="0" w:after="0" w:afterAutospacing="0"/>
              <w:ind w:left="0" w:right="0"/>
              <w:jc w:val="right"/>
              <w:rPr>
                <w:rFonts w:hint="default" w:ascii="宋体" w:hAnsi="宋体"/>
                <w:highlight w:val="none"/>
              </w:rPr>
            </w:pPr>
          </w:p>
        </w:tc>
        <w:tc>
          <w:tcPr>
            <w:tcW w:w="1568" w:type="dxa"/>
            <w:vAlign w:val="center"/>
          </w:tcPr>
          <w:p w14:paraId="458F0F4F">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02A86DE4">
            <w:pPr>
              <w:keepNext w:val="0"/>
              <w:keepLines w:val="0"/>
              <w:suppressLineNumbers w:val="0"/>
              <w:spacing w:before="0" w:beforeAutospacing="0" w:after="0" w:afterAutospacing="0"/>
              <w:ind w:left="0" w:right="0"/>
              <w:jc w:val="right"/>
              <w:rPr>
                <w:rFonts w:hint="default" w:ascii="宋体" w:hAnsi="宋体"/>
                <w:highlight w:val="none"/>
              </w:rPr>
            </w:pPr>
          </w:p>
        </w:tc>
        <w:tc>
          <w:tcPr>
            <w:tcW w:w="1800" w:type="dxa"/>
            <w:vAlign w:val="center"/>
          </w:tcPr>
          <w:p w14:paraId="068AF3BE">
            <w:pPr>
              <w:keepNext w:val="0"/>
              <w:keepLines w:val="0"/>
              <w:suppressLineNumbers w:val="0"/>
              <w:spacing w:before="0" w:beforeAutospacing="0" w:after="0" w:afterAutospacing="0"/>
              <w:ind w:left="0" w:right="0"/>
              <w:jc w:val="right"/>
              <w:rPr>
                <w:rFonts w:hint="default" w:ascii="宋体" w:hAnsi="宋体"/>
                <w:highlight w:val="none"/>
              </w:rPr>
            </w:pPr>
          </w:p>
        </w:tc>
      </w:tr>
      <w:tr w14:paraId="27A6E1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7B66DD49">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建设道支行监理费</w:t>
            </w:r>
          </w:p>
        </w:tc>
        <w:tc>
          <w:tcPr>
            <w:tcW w:w="1554" w:type="dxa"/>
            <w:vAlign w:val="center"/>
          </w:tcPr>
          <w:p w14:paraId="3796F3A0">
            <w:pPr>
              <w:keepNext w:val="0"/>
              <w:keepLines w:val="0"/>
              <w:suppressLineNumbers w:val="0"/>
              <w:spacing w:before="0" w:beforeAutospacing="0" w:after="0" w:afterAutospacing="0"/>
              <w:ind w:left="0" w:right="0"/>
              <w:jc w:val="right"/>
              <w:rPr>
                <w:rFonts w:hint="default" w:ascii="宋体" w:hAnsi="宋体"/>
                <w:highlight w:val="none"/>
              </w:rPr>
            </w:pPr>
          </w:p>
        </w:tc>
        <w:tc>
          <w:tcPr>
            <w:tcW w:w="1568" w:type="dxa"/>
            <w:vAlign w:val="center"/>
          </w:tcPr>
          <w:p w14:paraId="6ACC95A7">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1DFFE3F1">
            <w:pPr>
              <w:keepNext w:val="0"/>
              <w:keepLines w:val="0"/>
              <w:suppressLineNumbers w:val="0"/>
              <w:spacing w:before="0" w:beforeAutospacing="0" w:after="0" w:afterAutospacing="0"/>
              <w:ind w:left="0" w:right="0"/>
              <w:jc w:val="right"/>
              <w:rPr>
                <w:rFonts w:hint="default" w:ascii="宋体" w:hAnsi="宋体"/>
                <w:highlight w:val="none"/>
              </w:rPr>
            </w:pPr>
          </w:p>
        </w:tc>
        <w:tc>
          <w:tcPr>
            <w:tcW w:w="1800" w:type="dxa"/>
            <w:vAlign w:val="center"/>
          </w:tcPr>
          <w:p w14:paraId="55D0B645">
            <w:pPr>
              <w:keepNext w:val="0"/>
              <w:keepLines w:val="0"/>
              <w:suppressLineNumbers w:val="0"/>
              <w:spacing w:before="0" w:beforeAutospacing="0" w:after="0" w:afterAutospacing="0"/>
              <w:ind w:left="0" w:right="0"/>
              <w:jc w:val="right"/>
              <w:rPr>
                <w:rFonts w:hint="default" w:ascii="宋体" w:hAnsi="宋体"/>
                <w:highlight w:val="none"/>
              </w:rPr>
            </w:pPr>
          </w:p>
        </w:tc>
      </w:tr>
      <w:tr w14:paraId="3A5A1F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0FE19858">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建设道支行装修费</w:t>
            </w:r>
          </w:p>
        </w:tc>
        <w:tc>
          <w:tcPr>
            <w:tcW w:w="1554" w:type="dxa"/>
            <w:vAlign w:val="center"/>
          </w:tcPr>
          <w:p w14:paraId="212702C8">
            <w:pPr>
              <w:keepNext w:val="0"/>
              <w:keepLines w:val="0"/>
              <w:suppressLineNumbers w:val="0"/>
              <w:spacing w:before="0" w:beforeAutospacing="0" w:after="0" w:afterAutospacing="0"/>
              <w:ind w:left="0" w:right="0"/>
              <w:jc w:val="right"/>
              <w:rPr>
                <w:rFonts w:hint="default" w:ascii="宋体" w:hAnsi="宋体"/>
                <w:highlight w:val="none"/>
              </w:rPr>
            </w:pPr>
          </w:p>
        </w:tc>
        <w:tc>
          <w:tcPr>
            <w:tcW w:w="1568" w:type="dxa"/>
            <w:vAlign w:val="center"/>
          </w:tcPr>
          <w:p w14:paraId="393FCC44">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33DB514D">
            <w:pPr>
              <w:keepNext w:val="0"/>
              <w:keepLines w:val="0"/>
              <w:suppressLineNumbers w:val="0"/>
              <w:spacing w:before="0" w:beforeAutospacing="0" w:after="0" w:afterAutospacing="0"/>
              <w:ind w:left="0" w:right="0"/>
              <w:jc w:val="right"/>
              <w:rPr>
                <w:rFonts w:hint="default" w:ascii="宋体" w:hAnsi="宋体"/>
                <w:highlight w:val="none"/>
              </w:rPr>
            </w:pPr>
          </w:p>
        </w:tc>
        <w:tc>
          <w:tcPr>
            <w:tcW w:w="1800" w:type="dxa"/>
            <w:vAlign w:val="center"/>
          </w:tcPr>
          <w:p w14:paraId="3D785BAC">
            <w:pPr>
              <w:keepNext w:val="0"/>
              <w:keepLines w:val="0"/>
              <w:suppressLineNumbers w:val="0"/>
              <w:spacing w:before="0" w:beforeAutospacing="0" w:after="0" w:afterAutospacing="0"/>
              <w:ind w:left="0" w:right="0"/>
              <w:jc w:val="right"/>
              <w:rPr>
                <w:rFonts w:hint="default" w:ascii="宋体" w:hAnsi="宋体"/>
                <w:highlight w:val="none"/>
              </w:rPr>
            </w:pPr>
          </w:p>
        </w:tc>
      </w:tr>
      <w:tr w14:paraId="1A54A0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79FAE2C8">
            <w:pPr>
              <w:keepNext w:val="0"/>
              <w:keepLines w:val="0"/>
              <w:widowControl/>
              <w:suppressLineNumbers w:val="0"/>
              <w:spacing w:before="0" w:beforeAutospacing="0" w:after="0" w:afterAutospacing="0"/>
              <w:ind w:left="0" w:right="0"/>
              <w:jc w:val="both"/>
              <w:textAlignment w:val="center"/>
              <w:rPr>
                <w:rFonts w:hint="default"/>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建设道支行监理费余款</w:t>
            </w:r>
          </w:p>
        </w:tc>
        <w:tc>
          <w:tcPr>
            <w:tcW w:w="1554" w:type="dxa"/>
            <w:vAlign w:val="center"/>
          </w:tcPr>
          <w:p w14:paraId="48E44F0F">
            <w:pPr>
              <w:keepNext w:val="0"/>
              <w:keepLines w:val="0"/>
              <w:suppressLineNumbers w:val="0"/>
              <w:spacing w:before="0" w:beforeAutospacing="0" w:after="0" w:afterAutospacing="0"/>
              <w:ind w:left="0" w:right="0"/>
              <w:jc w:val="right"/>
              <w:rPr>
                <w:rFonts w:hint="default" w:ascii="宋体" w:hAnsi="宋体"/>
                <w:highlight w:val="none"/>
              </w:rPr>
            </w:pPr>
          </w:p>
        </w:tc>
        <w:tc>
          <w:tcPr>
            <w:tcW w:w="1568" w:type="dxa"/>
            <w:vAlign w:val="center"/>
          </w:tcPr>
          <w:p w14:paraId="6DA9E8EF">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15AAB206">
            <w:pPr>
              <w:keepNext w:val="0"/>
              <w:keepLines w:val="0"/>
              <w:suppressLineNumbers w:val="0"/>
              <w:spacing w:before="0" w:beforeAutospacing="0" w:after="0" w:afterAutospacing="0"/>
              <w:ind w:left="0" w:right="0"/>
              <w:jc w:val="right"/>
              <w:rPr>
                <w:rFonts w:hint="default" w:ascii="宋体" w:hAnsi="宋体"/>
                <w:highlight w:val="none"/>
              </w:rPr>
            </w:pPr>
          </w:p>
        </w:tc>
        <w:tc>
          <w:tcPr>
            <w:tcW w:w="1800" w:type="dxa"/>
            <w:vAlign w:val="center"/>
          </w:tcPr>
          <w:p w14:paraId="3F576BF9">
            <w:pPr>
              <w:keepNext w:val="0"/>
              <w:keepLines w:val="0"/>
              <w:suppressLineNumbers w:val="0"/>
              <w:spacing w:before="0" w:beforeAutospacing="0" w:after="0" w:afterAutospacing="0"/>
              <w:ind w:left="0" w:right="0"/>
              <w:jc w:val="right"/>
              <w:rPr>
                <w:rFonts w:hint="default" w:ascii="宋体" w:hAnsi="宋体"/>
                <w:highlight w:val="none"/>
              </w:rPr>
            </w:pPr>
          </w:p>
        </w:tc>
      </w:tr>
      <w:tr w14:paraId="69DA30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42919D75">
            <w:pPr>
              <w:keepNext w:val="0"/>
              <w:keepLines w:val="0"/>
              <w:widowControl/>
              <w:suppressLineNumbers w:val="0"/>
              <w:spacing w:before="0" w:beforeAutospacing="0" w:after="0" w:afterAutospacing="0"/>
              <w:ind w:left="0" w:right="0"/>
              <w:jc w:val="both"/>
              <w:textAlignment w:val="center"/>
              <w:rPr>
                <w:rFonts w:hint="default"/>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挂牌上市服务费</w:t>
            </w:r>
          </w:p>
        </w:tc>
        <w:tc>
          <w:tcPr>
            <w:tcW w:w="1554" w:type="dxa"/>
            <w:vAlign w:val="center"/>
          </w:tcPr>
          <w:p w14:paraId="7FBE7BEB">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45,777.76</w:t>
            </w:r>
          </w:p>
        </w:tc>
        <w:tc>
          <w:tcPr>
            <w:tcW w:w="1568" w:type="dxa"/>
            <w:vAlign w:val="center"/>
          </w:tcPr>
          <w:p w14:paraId="73ACC695">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2647FBF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45,777.76</w:t>
            </w:r>
          </w:p>
        </w:tc>
        <w:tc>
          <w:tcPr>
            <w:tcW w:w="1800" w:type="dxa"/>
            <w:vAlign w:val="center"/>
          </w:tcPr>
          <w:p w14:paraId="62548393">
            <w:pPr>
              <w:keepNext w:val="0"/>
              <w:keepLines w:val="0"/>
              <w:suppressLineNumbers w:val="0"/>
              <w:spacing w:before="0" w:beforeAutospacing="0" w:after="0" w:afterAutospacing="0"/>
              <w:ind w:left="0" w:right="0"/>
              <w:jc w:val="right"/>
              <w:rPr>
                <w:rFonts w:hint="default" w:ascii="宋体" w:hAnsi="宋体"/>
                <w:highlight w:val="none"/>
              </w:rPr>
            </w:pPr>
          </w:p>
        </w:tc>
      </w:tr>
      <w:tr w14:paraId="394B63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0B7FE4DE">
            <w:pPr>
              <w:keepNext w:val="0"/>
              <w:keepLines w:val="0"/>
              <w:widowControl/>
              <w:suppressLineNumbers w:val="0"/>
              <w:spacing w:before="0" w:beforeAutospacing="0" w:after="0" w:afterAutospacing="0"/>
              <w:ind w:left="0" w:right="0"/>
              <w:jc w:val="both"/>
              <w:textAlignment w:val="center"/>
              <w:rPr>
                <w:rFonts w:hint="default"/>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金库改造费金库建设费用</w:t>
            </w:r>
          </w:p>
        </w:tc>
        <w:tc>
          <w:tcPr>
            <w:tcW w:w="1554" w:type="dxa"/>
            <w:vAlign w:val="center"/>
          </w:tcPr>
          <w:p w14:paraId="6698BF03">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261,666.70</w:t>
            </w:r>
          </w:p>
        </w:tc>
        <w:tc>
          <w:tcPr>
            <w:tcW w:w="1568" w:type="dxa"/>
            <w:vAlign w:val="center"/>
          </w:tcPr>
          <w:p w14:paraId="13AEAEDB">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12AD775D">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261,666.70</w:t>
            </w:r>
          </w:p>
        </w:tc>
        <w:tc>
          <w:tcPr>
            <w:tcW w:w="1800" w:type="dxa"/>
            <w:vAlign w:val="center"/>
          </w:tcPr>
          <w:p w14:paraId="74DE5EC8">
            <w:pPr>
              <w:keepNext w:val="0"/>
              <w:keepLines w:val="0"/>
              <w:suppressLineNumbers w:val="0"/>
              <w:spacing w:before="0" w:beforeAutospacing="0" w:after="0" w:afterAutospacing="0"/>
              <w:ind w:left="0" w:right="0"/>
              <w:jc w:val="right"/>
              <w:rPr>
                <w:rFonts w:hint="default" w:ascii="宋体" w:hAnsi="宋体"/>
                <w:highlight w:val="none"/>
              </w:rPr>
            </w:pPr>
          </w:p>
        </w:tc>
      </w:tr>
      <w:tr w14:paraId="583B5B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vAlign w:val="center"/>
          </w:tcPr>
          <w:p w14:paraId="6EB8C9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金库改造费</w:t>
            </w:r>
            <w:r>
              <w:rPr>
                <w:rFonts w:hint="default" w:ascii="Times New Roman" w:hAnsi="Times New Roman" w:eastAsia="宋体" w:cs="Times New Roman"/>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highlight w:val="none"/>
                <w:u w:val="none"/>
                <w:lang w:val="en-US" w:eastAsia="zh-CN" w:bidi="ar"/>
              </w:rPr>
              <w:t>报警设备</w:t>
            </w:r>
          </w:p>
        </w:tc>
        <w:tc>
          <w:tcPr>
            <w:tcW w:w="1554" w:type="dxa"/>
            <w:vAlign w:val="center"/>
          </w:tcPr>
          <w:p w14:paraId="51627E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22,506.70</w:t>
            </w:r>
          </w:p>
        </w:tc>
        <w:tc>
          <w:tcPr>
            <w:tcW w:w="1568" w:type="dxa"/>
            <w:vAlign w:val="center"/>
          </w:tcPr>
          <w:p w14:paraId="05966D9C">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vAlign w:val="center"/>
          </w:tcPr>
          <w:p w14:paraId="02C0E72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22,506.70</w:t>
            </w:r>
          </w:p>
        </w:tc>
        <w:tc>
          <w:tcPr>
            <w:tcW w:w="1800" w:type="dxa"/>
            <w:vAlign w:val="center"/>
          </w:tcPr>
          <w:p w14:paraId="4677939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kern w:val="0"/>
                <w:sz w:val="21"/>
                <w:szCs w:val="21"/>
                <w:highlight w:val="none"/>
                <w:u w:val="none"/>
                <w:lang w:val="en-US" w:eastAsia="zh-CN" w:bidi="ar"/>
              </w:rPr>
            </w:pPr>
          </w:p>
        </w:tc>
      </w:tr>
      <w:tr w14:paraId="297D42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2071" w:type="dxa"/>
            <w:tcBorders>
              <w:bottom w:val="single" w:color="auto" w:sz="12" w:space="0"/>
            </w:tcBorders>
            <w:vAlign w:val="center"/>
          </w:tcPr>
          <w:p w14:paraId="76BA38BC">
            <w:pPr>
              <w:keepNext w:val="0"/>
              <w:keepLines w:val="0"/>
              <w:widowControl/>
              <w:suppressLineNumbers w:val="0"/>
              <w:spacing w:before="0" w:beforeAutospacing="0" w:after="0" w:afterAutospacing="0"/>
              <w:ind w:left="0" w:right="0"/>
              <w:jc w:val="center"/>
              <w:textAlignment w:val="center"/>
              <w:rPr>
                <w:rFonts w:hint="default"/>
                <w:b/>
                <w:kern w:val="0"/>
                <w:sz w:val="18"/>
                <w:szCs w:val="18"/>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1554" w:type="dxa"/>
            <w:tcBorders>
              <w:bottom w:val="single" w:color="auto" w:sz="12" w:space="0"/>
            </w:tcBorders>
            <w:vAlign w:val="center"/>
          </w:tcPr>
          <w:p w14:paraId="356ACF1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1,864,431.67</w:t>
            </w:r>
          </w:p>
        </w:tc>
        <w:tc>
          <w:tcPr>
            <w:tcW w:w="1568" w:type="dxa"/>
            <w:tcBorders>
              <w:bottom w:val="single" w:color="auto" w:sz="12" w:space="0"/>
            </w:tcBorders>
            <w:vAlign w:val="center"/>
          </w:tcPr>
          <w:p w14:paraId="048A9D6A">
            <w:pPr>
              <w:keepNext w:val="0"/>
              <w:keepLines w:val="0"/>
              <w:suppressLineNumbers w:val="0"/>
              <w:spacing w:before="0" w:beforeAutospacing="0" w:after="0" w:afterAutospacing="0"/>
              <w:ind w:left="0" w:right="0"/>
              <w:jc w:val="right"/>
              <w:rPr>
                <w:rFonts w:hint="default" w:ascii="宋体" w:hAnsi="宋体"/>
                <w:highlight w:val="none"/>
              </w:rPr>
            </w:pPr>
          </w:p>
        </w:tc>
        <w:tc>
          <w:tcPr>
            <w:tcW w:w="1513" w:type="dxa"/>
            <w:tcBorders>
              <w:bottom w:val="single" w:color="auto" w:sz="12" w:space="0"/>
            </w:tcBorders>
            <w:vAlign w:val="center"/>
          </w:tcPr>
          <w:p w14:paraId="738AD02D">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1,055,457.12</w:t>
            </w:r>
          </w:p>
        </w:tc>
        <w:tc>
          <w:tcPr>
            <w:tcW w:w="1800" w:type="dxa"/>
            <w:tcBorders>
              <w:bottom w:val="single" w:color="auto" w:sz="12" w:space="0"/>
            </w:tcBorders>
            <w:vAlign w:val="center"/>
          </w:tcPr>
          <w:p w14:paraId="0C98980E">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808,974.55</w:t>
            </w:r>
          </w:p>
        </w:tc>
      </w:tr>
      <w:bookmarkEnd w:id="4"/>
    </w:tbl>
    <w:p w14:paraId="1BBE1450">
      <w:pPr>
        <w:pStyle w:val="3"/>
        <w:keepNext w:val="0"/>
        <w:keepLines w:val="0"/>
        <w:widowControl w:val="0"/>
        <w:suppressLineNumbers w:val="0"/>
        <w:spacing w:before="0" w:beforeAutospacing="0" w:after="0" w:afterAutospacing="0" w:line="480" w:lineRule="exact"/>
        <w:ind w:left="482"/>
        <w:rPr>
          <w:rFonts w:hint="eastAsia" w:ascii="宋体" w:hAnsi="宋体" w:eastAsia="宋体" w:cs="宋体"/>
          <w:b/>
          <w:bCs w:val="0"/>
          <w:kern w:val="0"/>
          <w:sz w:val="24"/>
          <w:szCs w:val="24"/>
          <w:highlight w:val="none"/>
        </w:rPr>
      </w:pPr>
      <w:r>
        <w:rPr>
          <w:rFonts w:hint="eastAsia" w:ascii="宋体" w:hAnsi="宋体" w:eastAsia="宋体" w:cs="宋体"/>
          <w:bCs w:val="0"/>
          <w:sz w:val="24"/>
          <w:szCs w:val="24"/>
          <w:highlight w:val="none"/>
        </w:rPr>
        <w:t>3</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应收利息</w:t>
      </w:r>
    </w:p>
    <w:tbl>
      <w:tblPr>
        <w:tblStyle w:val="22"/>
        <w:tblW w:w="5000" w:type="pct"/>
        <w:jc w:val="center"/>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Layout w:type="autofit"/>
        <w:tblCellMar>
          <w:top w:w="0" w:type="dxa"/>
          <w:left w:w="108" w:type="dxa"/>
          <w:bottom w:w="0" w:type="dxa"/>
          <w:right w:w="108" w:type="dxa"/>
        </w:tblCellMar>
      </w:tblPr>
      <w:tblGrid>
        <w:gridCol w:w="3144"/>
        <w:gridCol w:w="2690"/>
        <w:gridCol w:w="2688"/>
      </w:tblGrid>
      <w:tr w14:paraId="68ED19C5">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jc w:val="center"/>
        </w:trPr>
        <w:tc>
          <w:tcPr>
            <w:tcW w:w="3144" w:type="dxa"/>
            <w:tcBorders>
              <w:top w:val="single" w:color="auto" w:sz="12" w:space="0"/>
              <w:left w:val="nil"/>
              <w:bottom w:val="dotted" w:color="auto" w:sz="4" w:space="0"/>
              <w:right w:val="dotted" w:color="auto" w:sz="4" w:space="0"/>
            </w:tcBorders>
            <w:shd w:val="clear" w:color="auto" w:fill="auto"/>
            <w:vAlign w:val="center"/>
          </w:tcPr>
          <w:p w14:paraId="67788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项目</w:t>
            </w:r>
          </w:p>
        </w:tc>
        <w:tc>
          <w:tcPr>
            <w:tcW w:w="2690" w:type="dxa"/>
            <w:tcBorders>
              <w:top w:val="single" w:color="auto" w:sz="12" w:space="0"/>
              <w:left w:val="dotted" w:color="auto" w:sz="4" w:space="0"/>
              <w:bottom w:val="dotted" w:color="auto" w:sz="4" w:space="0"/>
              <w:right w:val="dotted" w:color="auto" w:sz="4" w:space="0"/>
            </w:tcBorders>
            <w:shd w:val="clear" w:color="auto" w:fill="auto"/>
            <w:vAlign w:val="center"/>
          </w:tcPr>
          <w:p w14:paraId="163AA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期末余额</w:t>
            </w:r>
          </w:p>
        </w:tc>
        <w:tc>
          <w:tcPr>
            <w:tcW w:w="2688" w:type="dxa"/>
            <w:tcBorders>
              <w:top w:val="single" w:color="auto" w:sz="12" w:space="0"/>
              <w:left w:val="dotted" w:color="auto" w:sz="4" w:space="0"/>
              <w:bottom w:val="dotted" w:color="auto" w:sz="4" w:space="0"/>
              <w:right w:val="nil"/>
            </w:tcBorders>
            <w:shd w:val="clear" w:color="auto" w:fill="auto"/>
            <w:vAlign w:val="center"/>
          </w:tcPr>
          <w:p w14:paraId="29B54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000000"/>
                <w:kern w:val="2"/>
                <w:sz w:val="21"/>
                <w:szCs w:val="21"/>
                <w:highlight w:val="none"/>
              </w:rPr>
            </w:pPr>
            <w:r>
              <w:rPr>
                <w:rFonts w:hint="eastAsia" w:ascii="宋体" w:hAnsi="宋体" w:eastAsia="宋体" w:cs="宋体"/>
                <w:i w:val="0"/>
                <w:iCs w:val="0"/>
                <w:color w:val="000000"/>
                <w:kern w:val="0"/>
                <w:sz w:val="21"/>
                <w:szCs w:val="21"/>
                <w:highlight w:val="none"/>
                <w:lang w:val="en-US" w:eastAsia="zh-CN" w:bidi="ar"/>
              </w:rPr>
              <w:t>上年年末余额</w:t>
            </w:r>
          </w:p>
        </w:tc>
      </w:tr>
      <w:tr w14:paraId="1596CD30">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jc w:val="center"/>
        </w:trPr>
        <w:tc>
          <w:tcPr>
            <w:tcW w:w="3144" w:type="dxa"/>
            <w:tcBorders>
              <w:top w:val="dotted" w:color="auto" w:sz="4" w:space="0"/>
              <w:left w:val="nil"/>
              <w:bottom w:val="dotted" w:color="auto" w:sz="4" w:space="0"/>
              <w:right w:val="dotted" w:color="auto" w:sz="4" w:space="0"/>
            </w:tcBorders>
            <w:shd w:val="clear" w:color="auto" w:fill="auto"/>
            <w:vAlign w:val="center"/>
          </w:tcPr>
          <w:p w14:paraId="181C80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val="0"/>
                <w:color w:val="000000"/>
                <w:kern w:val="2"/>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应收利息</w:t>
            </w:r>
          </w:p>
        </w:tc>
        <w:tc>
          <w:tcPr>
            <w:tcW w:w="2690" w:type="dxa"/>
            <w:tcBorders>
              <w:top w:val="dotted" w:color="auto" w:sz="4" w:space="0"/>
              <w:left w:val="dotted" w:color="auto" w:sz="4" w:space="0"/>
              <w:bottom w:val="dotted" w:color="auto" w:sz="4" w:space="0"/>
              <w:right w:val="dotted" w:color="auto" w:sz="4" w:space="0"/>
            </w:tcBorders>
            <w:shd w:val="clear" w:color="auto" w:fill="auto"/>
            <w:vAlign w:val="center"/>
          </w:tcPr>
          <w:p w14:paraId="68A4CB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1,496,739.74</w:t>
            </w:r>
          </w:p>
        </w:tc>
        <w:tc>
          <w:tcPr>
            <w:tcW w:w="2688" w:type="dxa"/>
            <w:tcBorders>
              <w:top w:val="dotted" w:color="auto" w:sz="4" w:space="0"/>
              <w:left w:val="dotted" w:color="auto" w:sz="4" w:space="0"/>
              <w:bottom w:val="dotted" w:color="auto" w:sz="4" w:space="0"/>
              <w:right w:val="nil"/>
            </w:tcBorders>
            <w:shd w:val="clear" w:color="auto" w:fill="auto"/>
            <w:vAlign w:val="center"/>
          </w:tcPr>
          <w:p w14:paraId="70D3ED40">
            <w:pPr>
              <w:keepNext w:val="0"/>
              <w:keepLines w:val="0"/>
              <w:widowControl/>
              <w:suppressLineNumbers w:val="0"/>
              <w:spacing w:before="0" w:beforeAutospacing="0" w:after="0" w:afterAutospacing="0"/>
              <w:ind w:left="0" w:right="0"/>
              <w:jc w:val="right"/>
              <w:textAlignment w:val="center"/>
              <w:rPr>
                <w:rFonts w:hint="eastAsia" w:ascii="宋体" w:hAnsi="宋体" w:eastAsia="宋体" w:cs="Times New Roman"/>
                <w:color w:val="000000"/>
                <w:kern w:val="2"/>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176,632.07</w:t>
            </w:r>
          </w:p>
        </w:tc>
      </w:tr>
      <w:tr w14:paraId="4BC3F425">
        <w:tblPrEx>
          <w:tblBorders>
            <w:top w:val="single" w:color="auto" w:sz="12" w:space="0"/>
            <w:left w:val="none" w:color="auto" w:sz="6" w:space="0"/>
            <w:bottom w:val="single" w:color="auto" w:sz="12" w:space="0"/>
            <w:right w:val="none" w:color="auto" w:sz="6" w:space="0"/>
            <w:insideH w:val="dotted" w:color="auto" w:sz="4" w:space="0"/>
            <w:insideV w:val="dotted" w:color="auto" w:sz="4" w:space="0"/>
          </w:tblBorders>
          <w:shd w:val="clear" w:color="auto" w:fill="auto"/>
          <w:tblCellMar>
            <w:top w:w="0" w:type="dxa"/>
            <w:left w:w="108" w:type="dxa"/>
            <w:bottom w:w="0" w:type="dxa"/>
            <w:right w:w="108" w:type="dxa"/>
          </w:tblCellMar>
        </w:tblPrEx>
        <w:trPr>
          <w:trHeight w:val="454" w:hRule="atLeast"/>
          <w:jc w:val="center"/>
        </w:trPr>
        <w:tc>
          <w:tcPr>
            <w:tcW w:w="3144" w:type="dxa"/>
            <w:tcBorders>
              <w:top w:val="dotted" w:color="auto" w:sz="4" w:space="0"/>
              <w:left w:val="nil"/>
              <w:bottom w:val="single" w:color="auto" w:sz="12" w:space="0"/>
              <w:right w:val="dotted" w:color="auto" w:sz="4" w:space="0"/>
            </w:tcBorders>
            <w:shd w:val="clear" w:color="auto" w:fill="auto"/>
            <w:vAlign w:val="center"/>
          </w:tcPr>
          <w:p w14:paraId="1EB77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val="0"/>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90" w:type="dxa"/>
            <w:tcBorders>
              <w:top w:val="dotted" w:color="auto" w:sz="4" w:space="0"/>
              <w:left w:val="dotted" w:color="auto" w:sz="4" w:space="0"/>
              <w:bottom w:val="single" w:color="auto" w:sz="12" w:space="0"/>
              <w:right w:val="dotted" w:color="auto" w:sz="4" w:space="0"/>
            </w:tcBorders>
            <w:shd w:val="clear" w:color="auto" w:fill="auto"/>
            <w:vAlign w:val="center"/>
          </w:tcPr>
          <w:p w14:paraId="511AED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1,496,739.74</w:t>
            </w:r>
          </w:p>
        </w:tc>
        <w:tc>
          <w:tcPr>
            <w:tcW w:w="2688" w:type="dxa"/>
            <w:tcBorders>
              <w:top w:val="dotted" w:color="auto" w:sz="4" w:space="0"/>
              <w:left w:val="dotted" w:color="auto" w:sz="4" w:space="0"/>
              <w:bottom w:val="single" w:color="auto" w:sz="12" w:space="0"/>
              <w:right w:val="nil"/>
            </w:tcBorders>
            <w:shd w:val="clear" w:color="auto" w:fill="auto"/>
            <w:vAlign w:val="center"/>
          </w:tcPr>
          <w:p w14:paraId="3B86C34B">
            <w:pPr>
              <w:keepNext w:val="0"/>
              <w:keepLines w:val="0"/>
              <w:widowControl/>
              <w:suppressLineNumbers w:val="0"/>
              <w:spacing w:before="0" w:beforeAutospacing="0" w:after="0" w:afterAutospacing="0"/>
              <w:ind w:left="0" w:right="0"/>
              <w:jc w:val="right"/>
              <w:textAlignment w:val="center"/>
              <w:rPr>
                <w:rFonts w:hint="eastAsia" w:ascii="宋体" w:hAnsi="宋体" w:eastAsia="宋体" w:cs="Times New Roman"/>
                <w:color w:val="000000"/>
                <w:kern w:val="2"/>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176,632.07</w:t>
            </w:r>
          </w:p>
        </w:tc>
      </w:tr>
    </w:tbl>
    <w:p w14:paraId="01F373E4">
      <w:pPr>
        <w:pStyle w:val="3"/>
        <w:keepNext w:val="0"/>
        <w:keepLines w:val="0"/>
        <w:tabs>
          <w:tab w:val="left" w:pos="851"/>
        </w:tabs>
        <w:spacing w:before="0" w:after="0" w:line="48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4、</w:t>
      </w:r>
      <w:r>
        <w:rPr>
          <w:rFonts w:hint="eastAsia" w:ascii="宋体" w:hAnsi="宋体" w:eastAsia="宋体" w:cs="宋体"/>
          <w:bCs w:val="0"/>
          <w:sz w:val="24"/>
          <w:szCs w:val="24"/>
          <w:highlight w:val="none"/>
        </w:rPr>
        <w:t>代理业务资产清算</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44"/>
        <w:gridCol w:w="2690"/>
        <w:gridCol w:w="2688"/>
      </w:tblGrid>
      <w:tr w14:paraId="0608CC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7AFAB8C0">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90" w:type="dxa"/>
            <w:vAlign w:val="center"/>
          </w:tcPr>
          <w:p w14:paraId="5EC35D86">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88" w:type="dxa"/>
            <w:vAlign w:val="center"/>
          </w:tcPr>
          <w:p w14:paraId="6E06501E">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111E03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748C3D09">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待支付清算款项</w:t>
            </w:r>
          </w:p>
        </w:tc>
        <w:tc>
          <w:tcPr>
            <w:tcW w:w="2690" w:type="dxa"/>
            <w:vAlign w:val="center"/>
          </w:tcPr>
          <w:p w14:paraId="4A5CC2B0">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688" w:type="dxa"/>
            <w:vAlign w:val="center"/>
          </w:tcPr>
          <w:p w14:paraId="38BA6718">
            <w:pPr>
              <w:keepNext w:val="0"/>
              <w:keepLines w:val="0"/>
              <w:suppressLineNumbers w:val="0"/>
              <w:spacing w:before="0" w:beforeAutospacing="0" w:after="0" w:afterAutospacing="0"/>
              <w:ind w:left="0" w:right="0"/>
              <w:jc w:val="right"/>
              <w:rPr>
                <w:rFonts w:hint="default" w:ascii="宋体" w:hAnsi="宋体"/>
                <w:color w:val="000000"/>
                <w:highlight w:val="none"/>
              </w:rPr>
            </w:pPr>
          </w:p>
        </w:tc>
      </w:tr>
      <w:tr w14:paraId="5C2FAB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3ECFFD94">
            <w:pPr>
              <w:keepNext w:val="0"/>
              <w:keepLines w:val="0"/>
              <w:widowControl/>
              <w:suppressLineNumbers w:val="0"/>
              <w:spacing w:before="0" w:beforeAutospacing="0" w:after="0" w:afterAutospacing="0"/>
              <w:ind w:left="0" w:right="0"/>
              <w:jc w:val="both"/>
              <w:textAlignment w:val="center"/>
              <w:rPr>
                <w:rFonts w:hint="default" w:ascii="宋体" w:hAnsi="宋体" w:cs="宋体"/>
                <w:b/>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代理业务资金清算</w:t>
            </w:r>
          </w:p>
        </w:tc>
        <w:tc>
          <w:tcPr>
            <w:tcW w:w="2690" w:type="dxa"/>
            <w:vAlign w:val="center"/>
          </w:tcPr>
          <w:p w14:paraId="16D79FC0">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664,336.86</w:t>
            </w:r>
          </w:p>
        </w:tc>
        <w:tc>
          <w:tcPr>
            <w:tcW w:w="2688" w:type="dxa"/>
            <w:vAlign w:val="center"/>
          </w:tcPr>
          <w:p w14:paraId="0560F60C">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99,151.80</w:t>
            </w:r>
          </w:p>
        </w:tc>
      </w:tr>
      <w:tr w14:paraId="496F74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144" w:type="dxa"/>
            <w:vAlign w:val="center"/>
          </w:tcPr>
          <w:p w14:paraId="33756282">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90" w:type="dxa"/>
            <w:vAlign w:val="center"/>
          </w:tcPr>
          <w:p w14:paraId="32F2DB5B">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664,336.86</w:t>
            </w:r>
          </w:p>
        </w:tc>
        <w:tc>
          <w:tcPr>
            <w:tcW w:w="2688" w:type="dxa"/>
            <w:vAlign w:val="center"/>
          </w:tcPr>
          <w:p w14:paraId="4C13CCE6">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99,151.80</w:t>
            </w:r>
          </w:p>
        </w:tc>
      </w:tr>
    </w:tbl>
    <w:p w14:paraId="6775850A">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八</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向中央银行借款</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90"/>
        <w:gridCol w:w="2644"/>
        <w:gridCol w:w="2688"/>
      </w:tblGrid>
      <w:tr w14:paraId="71E91F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tcBorders>
              <w:top w:val="single" w:color="auto" w:sz="12" w:space="0"/>
            </w:tcBorders>
            <w:vAlign w:val="center"/>
          </w:tcPr>
          <w:p w14:paraId="064A3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44" w:type="dxa"/>
            <w:tcBorders>
              <w:top w:val="single" w:color="auto" w:sz="12" w:space="0"/>
            </w:tcBorders>
            <w:vAlign w:val="center"/>
          </w:tcPr>
          <w:p w14:paraId="4743A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1"/>
                <w:szCs w:val="21"/>
                <w:highlight w:val="none"/>
              </w:rPr>
            </w:pPr>
            <w:r>
              <w:rPr>
                <w:rFonts w:hint="eastAsia" w:ascii="宋体" w:hAnsi="宋体" w:eastAsia="宋体" w:cs="宋体"/>
                <w:i w:val="0"/>
                <w:iCs w:val="0"/>
                <w:color w:val="000000"/>
                <w:kern w:val="0"/>
                <w:sz w:val="18"/>
                <w:szCs w:val="18"/>
                <w:highlight w:val="none"/>
                <w:u w:val="none"/>
                <w:lang w:val="en-US" w:eastAsia="zh-CN" w:bidi="ar"/>
              </w:rPr>
              <w:t>期末余额</w:t>
            </w:r>
          </w:p>
        </w:tc>
        <w:tc>
          <w:tcPr>
            <w:tcW w:w="2688" w:type="dxa"/>
            <w:tcBorders>
              <w:top w:val="single" w:color="auto" w:sz="12" w:space="0"/>
            </w:tcBorders>
            <w:vAlign w:val="center"/>
          </w:tcPr>
          <w:p w14:paraId="21BC02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1"/>
                <w:szCs w:val="21"/>
                <w:highlight w:val="none"/>
              </w:rPr>
            </w:pPr>
            <w:r>
              <w:rPr>
                <w:rFonts w:hint="eastAsia" w:ascii="宋体" w:hAnsi="宋体" w:cs="宋体"/>
                <w:i w:val="0"/>
                <w:iCs w:val="0"/>
                <w:color w:val="000000"/>
                <w:kern w:val="0"/>
                <w:sz w:val="18"/>
                <w:szCs w:val="18"/>
                <w:highlight w:val="none"/>
                <w:u w:val="none"/>
                <w:lang w:val="en-US" w:eastAsia="zh-CN" w:bidi="ar"/>
              </w:rPr>
              <w:t>上年年末余额</w:t>
            </w:r>
          </w:p>
        </w:tc>
      </w:tr>
      <w:tr w14:paraId="3A60BC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vAlign w:val="center"/>
          </w:tcPr>
          <w:p w14:paraId="645B6337">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借入支小再贷款</w:t>
            </w:r>
          </w:p>
        </w:tc>
        <w:tc>
          <w:tcPr>
            <w:tcW w:w="2644" w:type="dxa"/>
            <w:vAlign w:val="center"/>
          </w:tcPr>
          <w:p w14:paraId="60FF6EC7">
            <w:pPr>
              <w:keepNext w:val="0"/>
              <w:keepLines w:val="0"/>
              <w:suppressLineNumbers w:val="0"/>
              <w:spacing w:before="0" w:beforeAutospacing="0" w:after="0" w:afterAutospacing="0"/>
              <w:ind w:left="0" w:right="0"/>
              <w:jc w:val="right"/>
              <w:rPr>
                <w:rFonts w:hint="default" w:ascii="宋体" w:hAnsi="宋体" w:cs="宋体"/>
                <w:highlight w:val="none"/>
              </w:rPr>
            </w:pPr>
          </w:p>
        </w:tc>
        <w:tc>
          <w:tcPr>
            <w:tcW w:w="2688" w:type="dxa"/>
            <w:vAlign w:val="center"/>
          </w:tcPr>
          <w:p w14:paraId="5F4821E6">
            <w:pPr>
              <w:keepNext w:val="0"/>
              <w:keepLines w:val="0"/>
              <w:suppressLineNumbers w:val="0"/>
              <w:spacing w:before="0" w:beforeAutospacing="0" w:after="0" w:afterAutospacing="0"/>
              <w:ind w:left="0" w:right="0"/>
              <w:jc w:val="right"/>
              <w:rPr>
                <w:rFonts w:hint="default" w:ascii="宋体" w:hAnsi="宋体" w:cs="宋体"/>
                <w:highlight w:val="none"/>
              </w:rPr>
            </w:pPr>
          </w:p>
        </w:tc>
      </w:tr>
      <w:tr w14:paraId="591A72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vAlign w:val="center"/>
          </w:tcPr>
          <w:p w14:paraId="34A812F7">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借入支农再贷款</w:t>
            </w:r>
          </w:p>
        </w:tc>
        <w:tc>
          <w:tcPr>
            <w:tcW w:w="2644" w:type="dxa"/>
            <w:vAlign w:val="center"/>
          </w:tcPr>
          <w:p w14:paraId="0DB2569C">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53,320,000.00</w:t>
            </w:r>
          </w:p>
        </w:tc>
        <w:tc>
          <w:tcPr>
            <w:tcW w:w="2688" w:type="dxa"/>
            <w:vAlign w:val="center"/>
          </w:tcPr>
          <w:p w14:paraId="03119F20">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58,580,000.00 </w:t>
            </w:r>
          </w:p>
        </w:tc>
      </w:tr>
      <w:tr w14:paraId="2AFA67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vAlign w:val="center"/>
          </w:tcPr>
          <w:p w14:paraId="38E41EA9">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2644" w:type="dxa"/>
            <w:vAlign w:val="center"/>
          </w:tcPr>
          <w:p w14:paraId="2970992B">
            <w:pPr>
              <w:keepNext w:val="0"/>
              <w:keepLines w:val="0"/>
              <w:suppressLineNumbers w:val="0"/>
              <w:spacing w:before="0" w:beforeAutospacing="0" w:after="0" w:afterAutospacing="0"/>
              <w:ind w:left="0" w:right="0"/>
              <w:jc w:val="right"/>
              <w:rPr>
                <w:rFonts w:hint="default" w:ascii="宋体" w:hAnsi="宋体" w:cs="宋体"/>
                <w:highlight w:val="none"/>
              </w:rPr>
            </w:pPr>
          </w:p>
        </w:tc>
        <w:tc>
          <w:tcPr>
            <w:tcW w:w="2688" w:type="dxa"/>
            <w:vAlign w:val="center"/>
          </w:tcPr>
          <w:p w14:paraId="58512645">
            <w:pPr>
              <w:keepNext w:val="0"/>
              <w:keepLines w:val="0"/>
              <w:suppressLineNumbers w:val="0"/>
              <w:spacing w:before="0" w:beforeAutospacing="0" w:after="0" w:afterAutospacing="0"/>
              <w:ind w:left="0" w:right="0"/>
              <w:jc w:val="right"/>
              <w:rPr>
                <w:rFonts w:hint="default" w:ascii="宋体" w:hAnsi="宋体" w:cs="宋体"/>
                <w:highlight w:val="none"/>
                <w:lang w:val="en-US"/>
              </w:rPr>
            </w:pPr>
          </w:p>
        </w:tc>
      </w:tr>
      <w:tr w14:paraId="049449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vAlign w:val="center"/>
          </w:tcPr>
          <w:p w14:paraId="3F9F1F80">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加：应计利息</w:t>
            </w:r>
          </w:p>
        </w:tc>
        <w:tc>
          <w:tcPr>
            <w:tcW w:w="2644" w:type="dxa"/>
            <w:vAlign w:val="center"/>
          </w:tcPr>
          <w:p w14:paraId="4CAC5CDF">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28,511.40</w:t>
            </w:r>
          </w:p>
        </w:tc>
        <w:tc>
          <w:tcPr>
            <w:tcW w:w="2688" w:type="dxa"/>
            <w:vAlign w:val="center"/>
          </w:tcPr>
          <w:p w14:paraId="7114E340">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35,798.89 </w:t>
            </w:r>
          </w:p>
        </w:tc>
      </w:tr>
      <w:tr w14:paraId="009DFF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90" w:type="dxa"/>
            <w:tcBorders>
              <w:bottom w:val="single" w:color="auto" w:sz="12" w:space="0"/>
            </w:tcBorders>
            <w:vAlign w:val="center"/>
          </w:tcPr>
          <w:p w14:paraId="0976F1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644" w:type="dxa"/>
            <w:tcBorders>
              <w:bottom w:val="single" w:color="auto" w:sz="12" w:space="0"/>
            </w:tcBorders>
            <w:vAlign w:val="center"/>
          </w:tcPr>
          <w:p w14:paraId="31E59AE2">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53,348,511.40</w:t>
            </w:r>
          </w:p>
        </w:tc>
        <w:tc>
          <w:tcPr>
            <w:tcW w:w="2688" w:type="dxa"/>
            <w:tcBorders>
              <w:bottom w:val="single" w:color="auto" w:sz="12" w:space="0"/>
            </w:tcBorders>
            <w:vAlign w:val="center"/>
          </w:tcPr>
          <w:p w14:paraId="1A4D9496">
            <w:pPr>
              <w:keepNext w:val="0"/>
              <w:keepLines w:val="0"/>
              <w:widowControl/>
              <w:suppressLineNumbers w:val="0"/>
              <w:spacing w:before="0" w:beforeAutospacing="0" w:after="0" w:afterAutospacing="0"/>
              <w:ind w:left="0" w:right="0"/>
              <w:jc w:val="right"/>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58,615,798.89 </w:t>
            </w:r>
          </w:p>
        </w:tc>
      </w:tr>
    </w:tbl>
    <w:p w14:paraId="4DF1BDC1">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九</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吸收存款</w:t>
      </w:r>
    </w:p>
    <w:tbl>
      <w:tblPr>
        <w:tblStyle w:val="22"/>
        <w:tblW w:w="5052"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41"/>
        <w:gridCol w:w="2425"/>
        <w:gridCol w:w="2645"/>
      </w:tblGrid>
      <w:tr w14:paraId="1BA3E2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tblHeader/>
          <w:jc w:val="center"/>
        </w:trPr>
        <w:tc>
          <w:tcPr>
            <w:tcW w:w="3541" w:type="dxa"/>
            <w:tcBorders>
              <w:top w:val="single" w:color="auto" w:sz="12" w:space="0"/>
            </w:tcBorders>
            <w:vAlign w:val="center"/>
          </w:tcPr>
          <w:p w14:paraId="62EAF3CD">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425" w:type="dxa"/>
            <w:tcBorders>
              <w:top w:val="single" w:color="auto" w:sz="12" w:space="0"/>
            </w:tcBorders>
            <w:vAlign w:val="center"/>
          </w:tcPr>
          <w:p w14:paraId="189C277B">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45" w:type="dxa"/>
            <w:tcBorders>
              <w:top w:val="single" w:color="auto" w:sz="12" w:space="0"/>
            </w:tcBorders>
            <w:vAlign w:val="center"/>
          </w:tcPr>
          <w:p w14:paraId="5C324943">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39F67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17DB3FAC">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活期存款：</w:t>
            </w:r>
          </w:p>
        </w:tc>
        <w:tc>
          <w:tcPr>
            <w:tcW w:w="2425" w:type="dxa"/>
            <w:vAlign w:val="center"/>
          </w:tcPr>
          <w:p w14:paraId="76632EE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99,976,690.43</w:t>
            </w:r>
          </w:p>
        </w:tc>
        <w:tc>
          <w:tcPr>
            <w:tcW w:w="2645" w:type="dxa"/>
            <w:vAlign w:val="center"/>
          </w:tcPr>
          <w:p w14:paraId="15C032A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248,147,532.77</w:t>
            </w:r>
          </w:p>
        </w:tc>
      </w:tr>
      <w:tr w14:paraId="61137A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55792B25">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其中：公司   </w:t>
            </w:r>
          </w:p>
        </w:tc>
        <w:tc>
          <w:tcPr>
            <w:tcW w:w="2425" w:type="dxa"/>
            <w:vAlign w:val="center"/>
          </w:tcPr>
          <w:p w14:paraId="3C6D8CC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13,881,033.31 </w:t>
            </w:r>
          </w:p>
        </w:tc>
        <w:tc>
          <w:tcPr>
            <w:tcW w:w="2645" w:type="dxa"/>
            <w:vAlign w:val="center"/>
          </w:tcPr>
          <w:p w14:paraId="66B11206">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138,545,192.05</w:t>
            </w:r>
          </w:p>
        </w:tc>
      </w:tr>
      <w:tr w14:paraId="6B3FC2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1786A110">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个人   </w:t>
            </w:r>
          </w:p>
        </w:tc>
        <w:tc>
          <w:tcPr>
            <w:tcW w:w="2425" w:type="dxa"/>
            <w:vAlign w:val="center"/>
          </w:tcPr>
          <w:p w14:paraId="2E3A0D2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86,095,657.12 </w:t>
            </w:r>
          </w:p>
        </w:tc>
        <w:tc>
          <w:tcPr>
            <w:tcW w:w="2645" w:type="dxa"/>
            <w:vAlign w:val="center"/>
          </w:tcPr>
          <w:p w14:paraId="11E67E0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109,602,340.72</w:t>
            </w:r>
          </w:p>
        </w:tc>
      </w:tr>
      <w:tr w14:paraId="4B5B71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0ABC88AF">
            <w:pPr>
              <w:keepNext w:val="0"/>
              <w:keepLines w:val="0"/>
              <w:widowControl/>
              <w:suppressLineNumbers w:val="0"/>
              <w:spacing w:before="0" w:beforeAutospacing="0" w:after="0" w:afterAutospacing="0"/>
              <w:ind w:left="0" w:right="0"/>
              <w:jc w:val="both"/>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定期存款（含通知存款）</w:t>
            </w:r>
          </w:p>
        </w:tc>
        <w:tc>
          <w:tcPr>
            <w:tcW w:w="2425" w:type="dxa"/>
            <w:vAlign w:val="center"/>
          </w:tcPr>
          <w:p w14:paraId="038918C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795,286,572.61</w:t>
            </w:r>
          </w:p>
        </w:tc>
        <w:tc>
          <w:tcPr>
            <w:tcW w:w="2645" w:type="dxa"/>
            <w:vAlign w:val="center"/>
          </w:tcPr>
          <w:p w14:paraId="071C5DA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756,029,349.34</w:t>
            </w:r>
          </w:p>
        </w:tc>
      </w:tr>
      <w:tr w14:paraId="11114F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42360080">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其中：公司   </w:t>
            </w:r>
          </w:p>
        </w:tc>
        <w:tc>
          <w:tcPr>
            <w:tcW w:w="2425" w:type="dxa"/>
            <w:vAlign w:val="center"/>
          </w:tcPr>
          <w:p w14:paraId="6BAD822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2,734,403.73</w:t>
            </w:r>
          </w:p>
        </w:tc>
        <w:tc>
          <w:tcPr>
            <w:tcW w:w="2645" w:type="dxa"/>
            <w:vAlign w:val="center"/>
          </w:tcPr>
          <w:p w14:paraId="4A58FC9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2,734,403.73</w:t>
            </w:r>
          </w:p>
        </w:tc>
      </w:tr>
      <w:tr w14:paraId="07F009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2286E074">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个人   </w:t>
            </w:r>
          </w:p>
        </w:tc>
        <w:tc>
          <w:tcPr>
            <w:tcW w:w="2425" w:type="dxa"/>
            <w:vAlign w:val="center"/>
          </w:tcPr>
          <w:p w14:paraId="62AB65E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792,552,168.88</w:t>
            </w:r>
          </w:p>
        </w:tc>
        <w:tc>
          <w:tcPr>
            <w:tcW w:w="2645" w:type="dxa"/>
            <w:vAlign w:val="center"/>
          </w:tcPr>
          <w:p w14:paraId="490E1B06">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753,294,945.61</w:t>
            </w:r>
          </w:p>
        </w:tc>
      </w:tr>
      <w:tr w14:paraId="1E4B65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3DD60C44">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存入保证金  </w:t>
            </w:r>
          </w:p>
        </w:tc>
        <w:tc>
          <w:tcPr>
            <w:tcW w:w="2425" w:type="dxa"/>
            <w:vAlign w:val="center"/>
          </w:tcPr>
          <w:p w14:paraId="2FA3610F">
            <w:pPr>
              <w:keepNext w:val="0"/>
              <w:keepLines w:val="0"/>
              <w:suppressLineNumbers w:val="0"/>
              <w:spacing w:before="0" w:beforeAutospacing="0" w:after="0" w:afterAutospacing="0"/>
              <w:ind w:left="0" w:right="0"/>
              <w:jc w:val="right"/>
              <w:rPr>
                <w:rFonts w:hint="default" w:asciiTheme="minorEastAsia" w:hAnsiTheme="minorEastAsia" w:eastAsiaTheme="minorEastAsia"/>
                <w:sz w:val="21"/>
                <w:szCs w:val="21"/>
                <w:highlight w:val="none"/>
              </w:rPr>
            </w:pPr>
          </w:p>
        </w:tc>
        <w:tc>
          <w:tcPr>
            <w:tcW w:w="2645" w:type="dxa"/>
            <w:vAlign w:val="center"/>
          </w:tcPr>
          <w:p w14:paraId="0DB5D9B7">
            <w:pPr>
              <w:keepNext w:val="0"/>
              <w:keepLines w:val="0"/>
              <w:suppressLineNumbers w:val="0"/>
              <w:spacing w:before="0" w:beforeAutospacing="0" w:after="0" w:afterAutospacing="0"/>
              <w:ind w:left="0" w:right="0"/>
              <w:jc w:val="right"/>
              <w:rPr>
                <w:rFonts w:hint="default" w:asciiTheme="minorEastAsia" w:hAnsiTheme="minorEastAsia" w:eastAsiaTheme="minorEastAsia"/>
                <w:sz w:val="21"/>
                <w:szCs w:val="21"/>
                <w:highlight w:val="none"/>
              </w:rPr>
            </w:pPr>
          </w:p>
        </w:tc>
      </w:tr>
      <w:tr w14:paraId="27FF76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vAlign w:val="center"/>
          </w:tcPr>
          <w:p w14:paraId="509E44BB">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应计利息</w:t>
            </w:r>
          </w:p>
        </w:tc>
        <w:tc>
          <w:tcPr>
            <w:tcW w:w="2425" w:type="dxa"/>
            <w:vAlign w:val="center"/>
          </w:tcPr>
          <w:p w14:paraId="752B80B4">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32,080,406.58</w:t>
            </w:r>
          </w:p>
        </w:tc>
        <w:tc>
          <w:tcPr>
            <w:tcW w:w="2645" w:type="dxa"/>
            <w:vAlign w:val="center"/>
          </w:tcPr>
          <w:p w14:paraId="431DDE5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27,998,976.38</w:t>
            </w:r>
          </w:p>
        </w:tc>
      </w:tr>
      <w:tr w14:paraId="5A91A2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0" w:hRule="atLeast"/>
          <w:jc w:val="center"/>
        </w:trPr>
        <w:tc>
          <w:tcPr>
            <w:tcW w:w="3541" w:type="dxa"/>
            <w:tcBorders>
              <w:bottom w:val="single" w:color="auto" w:sz="12" w:space="0"/>
            </w:tcBorders>
            <w:vAlign w:val="center"/>
          </w:tcPr>
          <w:p w14:paraId="5ECB560E">
            <w:pPr>
              <w:keepNext w:val="0"/>
              <w:keepLines w:val="0"/>
              <w:widowControl/>
              <w:suppressLineNumbers w:val="0"/>
              <w:spacing w:before="0" w:beforeAutospacing="0" w:after="0" w:afterAutospacing="0"/>
              <w:ind w:left="0" w:right="0"/>
              <w:jc w:val="center"/>
              <w:textAlignment w:val="center"/>
              <w:rPr>
                <w:rFonts w:hint="default" w:ascii="宋体" w:hAnsi="宋体"/>
                <w:b/>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425" w:type="dxa"/>
            <w:tcBorders>
              <w:bottom w:val="single" w:color="auto" w:sz="12" w:space="0"/>
            </w:tcBorders>
            <w:vAlign w:val="center"/>
          </w:tcPr>
          <w:p w14:paraId="1D1EF42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927,343,669.62</w:t>
            </w:r>
          </w:p>
        </w:tc>
        <w:tc>
          <w:tcPr>
            <w:tcW w:w="2645" w:type="dxa"/>
            <w:tcBorders>
              <w:bottom w:val="single" w:color="auto" w:sz="12" w:space="0"/>
            </w:tcBorders>
            <w:vAlign w:val="center"/>
          </w:tcPr>
          <w:p w14:paraId="3FCB64F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1,032,175,858.49</w:t>
            </w:r>
          </w:p>
        </w:tc>
      </w:tr>
    </w:tbl>
    <w:p w14:paraId="27FE4EC2">
      <w:pPr>
        <w:snapToGrid w:val="0"/>
        <w:spacing w:line="20" w:lineRule="exact"/>
        <w:rPr>
          <w:rFonts w:ascii="宋体" w:hAnsi="宋体"/>
          <w:i/>
          <w:iCs/>
          <w:color w:val="FF0000"/>
          <w:sz w:val="24"/>
          <w:szCs w:val="24"/>
          <w:highlight w:val="none"/>
        </w:rPr>
      </w:pPr>
    </w:p>
    <w:p w14:paraId="5C75EFD6">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应付职工薪酬</w:t>
      </w:r>
    </w:p>
    <w:p w14:paraId="07729655">
      <w:pPr>
        <w:pStyle w:val="35"/>
        <w:spacing w:line="480" w:lineRule="exact"/>
        <w:ind w:firstLine="480" w:firstLineChars="200"/>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应付职工薪酬列示</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407"/>
        <w:gridCol w:w="1476"/>
        <w:gridCol w:w="1582"/>
        <w:gridCol w:w="1581"/>
        <w:gridCol w:w="1476"/>
      </w:tblGrid>
      <w:tr w14:paraId="70669C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441" w:type="dxa"/>
            <w:tcBorders>
              <w:top w:val="single" w:color="auto" w:sz="12" w:space="0"/>
              <w:bottom w:val="dotted" w:color="auto" w:sz="4" w:space="0"/>
              <w:right w:val="dotted" w:color="auto" w:sz="4" w:space="0"/>
            </w:tcBorders>
            <w:vAlign w:val="center"/>
          </w:tcPr>
          <w:p w14:paraId="1F032B8F">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442" w:type="dxa"/>
            <w:tcBorders>
              <w:top w:val="single" w:color="auto" w:sz="12" w:space="0"/>
              <w:left w:val="dotted" w:color="auto" w:sz="4" w:space="0"/>
              <w:bottom w:val="dotted" w:color="auto" w:sz="4" w:space="0"/>
              <w:right w:val="dotted" w:color="auto" w:sz="4" w:space="0"/>
            </w:tcBorders>
            <w:vAlign w:val="center"/>
          </w:tcPr>
          <w:p w14:paraId="4B6A6EFC">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c>
          <w:tcPr>
            <w:tcW w:w="1582" w:type="dxa"/>
            <w:tcBorders>
              <w:top w:val="single" w:color="auto" w:sz="12" w:space="0"/>
              <w:left w:val="dotted" w:color="auto" w:sz="4" w:space="0"/>
              <w:bottom w:val="dotted" w:color="auto" w:sz="4" w:space="0"/>
              <w:right w:val="dotted" w:color="auto" w:sz="4" w:space="0"/>
            </w:tcBorders>
            <w:vAlign w:val="center"/>
          </w:tcPr>
          <w:p w14:paraId="5D0F3D5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本期增加</w:t>
            </w:r>
          </w:p>
        </w:tc>
        <w:tc>
          <w:tcPr>
            <w:tcW w:w="1581" w:type="dxa"/>
            <w:tcBorders>
              <w:top w:val="single" w:color="auto" w:sz="12" w:space="0"/>
              <w:left w:val="dotted" w:color="auto" w:sz="4" w:space="0"/>
              <w:bottom w:val="dotted" w:color="auto" w:sz="4" w:space="0"/>
              <w:right w:val="dotted" w:color="auto" w:sz="4" w:space="0"/>
            </w:tcBorders>
            <w:vAlign w:val="center"/>
          </w:tcPr>
          <w:p w14:paraId="038B8F1D">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本期减少</w:t>
            </w:r>
          </w:p>
        </w:tc>
        <w:tc>
          <w:tcPr>
            <w:tcW w:w="1476" w:type="dxa"/>
            <w:tcBorders>
              <w:top w:val="single" w:color="auto" w:sz="12" w:space="0"/>
              <w:left w:val="dotted" w:color="auto" w:sz="4" w:space="0"/>
              <w:bottom w:val="dotted" w:color="auto" w:sz="4" w:space="0"/>
            </w:tcBorders>
            <w:vAlign w:val="center"/>
          </w:tcPr>
          <w:p w14:paraId="215941E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r>
      <w:tr w14:paraId="02C641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441" w:type="dxa"/>
            <w:tcBorders>
              <w:top w:val="dotted" w:color="auto" w:sz="4" w:space="0"/>
              <w:bottom w:val="dotted" w:color="auto" w:sz="4" w:space="0"/>
              <w:right w:val="dotted" w:color="auto" w:sz="4" w:space="0"/>
            </w:tcBorders>
            <w:vAlign w:val="center"/>
          </w:tcPr>
          <w:p w14:paraId="12BE3BCE">
            <w:pPr>
              <w:keepNext w:val="0"/>
              <w:keepLines w:val="0"/>
              <w:widowControl/>
              <w:suppressLineNumbers w:val="0"/>
              <w:spacing w:before="0" w:beforeAutospacing="0" w:after="0" w:afterAutospacing="0"/>
              <w:ind w:left="0" w:right="0"/>
              <w:jc w:val="lef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短期薪酬</w:t>
            </w:r>
          </w:p>
        </w:tc>
        <w:tc>
          <w:tcPr>
            <w:tcW w:w="1442" w:type="dxa"/>
            <w:tcBorders>
              <w:top w:val="dotted" w:color="auto" w:sz="4" w:space="0"/>
              <w:left w:val="dotted" w:color="auto" w:sz="4" w:space="0"/>
              <w:bottom w:val="dotted" w:color="auto" w:sz="4" w:space="0"/>
              <w:right w:val="dotted" w:color="auto" w:sz="4" w:space="0"/>
            </w:tcBorders>
            <w:vAlign w:val="center"/>
          </w:tcPr>
          <w:p w14:paraId="1E458A5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3,000,738.56</w:t>
            </w:r>
          </w:p>
        </w:tc>
        <w:tc>
          <w:tcPr>
            <w:tcW w:w="1582" w:type="dxa"/>
            <w:tcBorders>
              <w:top w:val="dotted" w:color="auto" w:sz="4" w:space="0"/>
              <w:left w:val="dotted" w:color="auto" w:sz="4" w:space="0"/>
              <w:bottom w:val="dotted" w:color="auto" w:sz="4" w:space="0"/>
              <w:right w:val="dotted" w:color="auto" w:sz="4" w:space="0"/>
            </w:tcBorders>
            <w:vAlign w:val="center"/>
          </w:tcPr>
          <w:p w14:paraId="34A0CEF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11,846,278.57</w:t>
            </w:r>
          </w:p>
        </w:tc>
        <w:tc>
          <w:tcPr>
            <w:tcW w:w="1581" w:type="dxa"/>
            <w:tcBorders>
              <w:top w:val="dotted" w:color="auto" w:sz="4" w:space="0"/>
              <w:left w:val="dotted" w:color="auto" w:sz="4" w:space="0"/>
              <w:bottom w:val="dotted" w:color="auto" w:sz="4" w:space="0"/>
              <w:right w:val="dotted" w:color="auto" w:sz="4" w:space="0"/>
            </w:tcBorders>
            <w:vAlign w:val="center"/>
          </w:tcPr>
          <w:p w14:paraId="7F0BD82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10,755,540.99</w:t>
            </w:r>
          </w:p>
        </w:tc>
        <w:tc>
          <w:tcPr>
            <w:tcW w:w="1476" w:type="dxa"/>
            <w:tcBorders>
              <w:top w:val="dotted" w:color="auto" w:sz="4" w:space="0"/>
              <w:left w:val="dotted" w:color="auto" w:sz="4" w:space="0"/>
              <w:bottom w:val="dotted" w:color="auto" w:sz="4" w:space="0"/>
            </w:tcBorders>
            <w:vAlign w:val="center"/>
          </w:tcPr>
          <w:p w14:paraId="2875EC3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4,091,476.14</w:t>
            </w:r>
          </w:p>
        </w:tc>
      </w:tr>
      <w:tr w14:paraId="5B67B2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441" w:type="dxa"/>
            <w:tcBorders>
              <w:top w:val="dotted" w:color="auto" w:sz="4" w:space="0"/>
              <w:bottom w:val="dotted" w:color="auto" w:sz="4" w:space="0"/>
              <w:right w:val="dotted" w:color="auto" w:sz="4" w:space="0"/>
            </w:tcBorders>
            <w:vAlign w:val="center"/>
          </w:tcPr>
          <w:p w14:paraId="43CD925A">
            <w:pPr>
              <w:keepNext w:val="0"/>
              <w:keepLines w:val="0"/>
              <w:widowControl/>
              <w:suppressLineNumbers w:val="0"/>
              <w:spacing w:before="0" w:beforeAutospacing="0" w:after="0" w:afterAutospacing="0"/>
              <w:ind w:left="0" w:right="0"/>
              <w:jc w:val="lef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离职后福利-设定提存计划</w:t>
            </w:r>
          </w:p>
        </w:tc>
        <w:tc>
          <w:tcPr>
            <w:tcW w:w="1442" w:type="dxa"/>
            <w:tcBorders>
              <w:top w:val="dotted" w:color="auto" w:sz="4" w:space="0"/>
              <w:left w:val="dotted" w:color="auto" w:sz="4" w:space="0"/>
              <w:bottom w:val="dotted" w:color="auto" w:sz="4" w:space="0"/>
              <w:right w:val="dotted" w:color="auto" w:sz="4" w:space="0"/>
            </w:tcBorders>
            <w:vAlign w:val="center"/>
          </w:tcPr>
          <w:p w14:paraId="329A1025">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582" w:type="dxa"/>
            <w:tcBorders>
              <w:top w:val="dotted" w:color="auto" w:sz="4" w:space="0"/>
              <w:left w:val="dotted" w:color="auto" w:sz="4" w:space="0"/>
              <w:bottom w:val="dotted" w:color="auto" w:sz="4" w:space="0"/>
              <w:right w:val="dotted" w:color="auto" w:sz="4" w:space="0"/>
            </w:tcBorders>
            <w:vAlign w:val="center"/>
          </w:tcPr>
          <w:p w14:paraId="4F1F1F2F">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871,048.67</w:t>
            </w:r>
          </w:p>
        </w:tc>
        <w:tc>
          <w:tcPr>
            <w:tcW w:w="1581" w:type="dxa"/>
            <w:tcBorders>
              <w:top w:val="dotted" w:color="auto" w:sz="4" w:space="0"/>
              <w:left w:val="dotted" w:color="auto" w:sz="4" w:space="0"/>
              <w:bottom w:val="dotted" w:color="auto" w:sz="4" w:space="0"/>
              <w:right w:val="dotted" w:color="auto" w:sz="4" w:space="0"/>
            </w:tcBorders>
            <w:vAlign w:val="center"/>
          </w:tcPr>
          <w:p w14:paraId="446B16B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871,048.67</w:t>
            </w:r>
          </w:p>
        </w:tc>
        <w:tc>
          <w:tcPr>
            <w:tcW w:w="1476" w:type="dxa"/>
            <w:tcBorders>
              <w:top w:val="dotted" w:color="auto" w:sz="4" w:space="0"/>
              <w:left w:val="dotted" w:color="auto" w:sz="4" w:space="0"/>
              <w:bottom w:val="dotted" w:color="auto" w:sz="4" w:space="0"/>
            </w:tcBorders>
            <w:vAlign w:val="center"/>
          </w:tcPr>
          <w:p w14:paraId="365FE11D">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23B79A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441" w:type="dxa"/>
            <w:tcBorders>
              <w:top w:val="dotted" w:color="auto" w:sz="4" w:space="0"/>
              <w:bottom w:val="single" w:color="auto" w:sz="12" w:space="0"/>
              <w:right w:val="dotted" w:color="auto" w:sz="4" w:space="0"/>
            </w:tcBorders>
            <w:vAlign w:val="center"/>
          </w:tcPr>
          <w:p w14:paraId="30B8B974">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1442" w:type="dxa"/>
            <w:tcBorders>
              <w:top w:val="dotted" w:color="auto" w:sz="4" w:space="0"/>
              <w:left w:val="dotted" w:color="auto" w:sz="4" w:space="0"/>
              <w:bottom w:val="single" w:color="auto" w:sz="12" w:space="0"/>
              <w:right w:val="dotted" w:color="auto" w:sz="4" w:space="0"/>
            </w:tcBorders>
            <w:vAlign w:val="center"/>
          </w:tcPr>
          <w:p w14:paraId="3CBB88B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3,000,738.56</w:t>
            </w:r>
          </w:p>
        </w:tc>
        <w:tc>
          <w:tcPr>
            <w:tcW w:w="1582" w:type="dxa"/>
            <w:tcBorders>
              <w:top w:val="dotted" w:color="auto" w:sz="4" w:space="0"/>
              <w:left w:val="dotted" w:color="auto" w:sz="4" w:space="0"/>
              <w:bottom w:val="single" w:color="auto" w:sz="12" w:space="0"/>
              <w:right w:val="dotted" w:color="auto" w:sz="4" w:space="0"/>
            </w:tcBorders>
            <w:vAlign w:val="center"/>
          </w:tcPr>
          <w:p w14:paraId="5D6C5B0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12,717,327.24</w:t>
            </w:r>
          </w:p>
        </w:tc>
        <w:tc>
          <w:tcPr>
            <w:tcW w:w="1581" w:type="dxa"/>
            <w:tcBorders>
              <w:top w:val="dotted" w:color="auto" w:sz="4" w:space="0"/>
              <w:left w:val="dotted" w:color="auto" w:sz="4" w:space="0"/>
              <w:bottom w:val="single" w:color="auto" w:sz="12" w:space="0"/>
              <w:right w:val="dotted" w:color="auto" w:sz="4" w:space="0"/>
            </w:tcBorders>
            <w:vAlign w:val="center"/>
          </w:tcPr>
          <w:p w14:paraId="05A060F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11,626,589.66</w:t>
            </w:r>
          </w:p>
        </w:tc>
        <w:tc>
          <w:tcPr>
            <w:tcW w:w="1476" w:type="dxa"/>
            <w:tcBorders>
              <w:top w:val="dotted" w:color="auto" w:sz="4" w:space="0"/>
              <w:left w:val="dotted" w:color="auto" w:sz="4" w:space="0"/>
              <w:bottom w:val="single" w:color="auto" w:sz="12" w:space="0"/>
            </w:tcBorders>
            <w:vAlign w:val="center"/>
          </w:tcPr>
          <w:p w14:paraId="7EA31DA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4,091,476.14</w:t>
            </w:r>
          </w:p>
        </w:tc>
      </w:tr>
    </w:tbl>
    <w:p w14:paraId="0A486DD2">
      <w:pPr>
        <w:pStyle w:val="35"/>
        <w:tabs>
          <w:tab w:val="left" w:pos="540"/>
        </w:tabs>
        <w:spacing w:line="480" w:lineRule="exact"/>
        <w:ind w:firstLine="540" w:firstLineChars="225"/>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lang w:eastAsia="zh-CN"/>
        </w:rPr>
        <w:t>、</w:t>
      </w:r>
      <w:r>
        <w:rPr>
          <w:rFonts w:ascii="宋体" w:hAnsi="宋体" w:eastAsia="宋体" w:cs="宋体"/>
          <w:highlight w:val="none"/>
        </w:rPr>
        <w:t>短期薪酬列示</w:t>
      </w:r>
    </w:p>
    <w:tbl>
      <w:tblPr>
        <w:tblStyle w:val="22"/>
        <w:tblW w:w="5066"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39"/>
        <w:gridCol w:w="1663"/>
        <w:gridCol w:w="1634"/>
        <w:gridCol w:w="1606"/>
        <w:gridCol w:w="1380"/>
        <w:gridCol w:w="113"/>
      </w:tblGrid>
      <w:tr w14:paraId="687816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gridAfter w:val="1"/>
          <w:wAfter w:w="113" w:type="dxa"/>
          <w:trHeight w:val="454" w:hRule="atLeast"/>
          <w:tblHeader/>
          <w:jc w:val="center"/>
        </w:trPr>
        <w:tc>
          <w:tcPr>
            <w:tcW w:w="2239" w:type="dxa"/>
            <w:tcBorders>
              <w:top w:val="single" w:color="auto" w:sz="12" w:space="0"/>
              <w:bottom w:val="dotted" w:color="auto" w:sz="4" w:space="0"/>
              <w:right w:val="dotted" w:color="auto" w:sz="4" w:space="0"/>
            </w:tcBorders>
            <w:vAlign w:val="center"/>
          </w:tcPr>
          <w:p w14:paraId="59F4F697">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663" w:type="dxa"/>
            <w:tcBorders>
              <w:top w:val="single" w:color="auto" w:sz="12" w:space="0"/>
              <w:left w:val="dotted" w:color="auto" w:sz="4" w:space="0"/>
              <w:bottom w:val="dotted" w:color="auto" w:sz="4" w:space="0"/>
              <w:right w:val="dotted" w:color="auto" w:sz="4" w:space="0"/>
            </w:tcBorders>
            <w:vAlign w:val="center"/>
          </w:tcPr>
          <w:p w14:paraId="3B90876A">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c>
          <w:tcPr>
            <w:tcW w:w="1634" w:type="dxa"/>
            <w:tcBorders>
              <w:top w:val="single" w:color="auto" w:sz="12" w:space="0"/>
              <w:left w:val="dotted" w:color="auto" w:sz="4" w:space="0"/>
              <w:bottom w:val="dotted" w:color="auto" w:sz="4" w:space="0"/>
              <w:right w:val="dotted" w:color="auto" w:sz="4" w:space="0"/>
            </w:tcBorders>
            <w:vAlign w:val="center"/>
          </w:tcPr>
          <w:p w14:paraId="5A2CA8C6">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本期增加</w:t>
            </w:r>
          </w:p>
        </w:tc>
        <w:tc>
          <w:tcPr>
            <w:tcW w:w="1606" w:type="dxa"/>
            <w:tcBorders>
              <w:top w:val="single" w:color="auto" w:sz="12" w:space="0"/>
              <w:left w:val="dotted" w:color="auto" w:sz="4" w:space="0"/>
              <w:bottom w:val="dotted" w:color="auto" w:sz="4" w:space="0"/>
              <w:right w:val="dotted" w:color="auto" w:sz="4" w:space="0"/>
            </w:tcBorders>
            <w:vAlign w:val="center"/>
          </w:tcPr>
          <w:p w14:paraId="019651C6">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本期减少</w:t>
            </w:r>
          </w:p>
        </w:tc>
        <w:tc>
          <w:tcPr>
            <w:tcW w:w="1380" w:type="dxa"/>
            <w:tcBorders>
              <w:top w:val="single" w:color="auto" w:sz="12" w:space="0"/>
              <w:left w:val="dotted" w:color="auto" w:sz="4" w:space="0"/>
              <w:bottom w:val="dotted" w:color="auto" w:sz="4" w:space="0"/>
            </w:tcBorders>
            <w:vAlign w:val="center"/>
          </w:tcPr>
          <w:p w14:paraId="65B8AE92">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r>
      <w:tr w14:paraId="7537AD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18ADE143">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工资、奖金、津贴和补贴</w:t>
            </w:r>
          </w:p>
        </w:tc>
        <w:tc>
          <w:tcPr>
            <w:tcW w:w="1663" w:type="dxa"/>
            <w:tcBorders>
              <w:top w:val="dotted" w:color="auto" w:sz="4" w:space="0"/>
              <w:left w:val="dotted" w:color="auto" w:sz="4" w:space="0"/>
              <w:bottom w:val="dotted" w:color="auto" w:sz="4" w:space="0"/>
              <w:right w:val="dotted" w:color="auto" w:sz="4" w:space="0"/>
            </w:tcBorders>
            <w:vAlign w:val="center"/>
          </w:tcPr>
          <w:p w14:paraId="5495C1A9">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67E200E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8,206,150.89</w:t>
            </w:r>
          </w:p>
        </w:tc>
        <w:tc>
          <w:tcPr>
            <w:tcW w:w="1606" w:type="dxa"/>
            <w:tcBorders>
              <w:top w:val="dotted" w:color="auto" w:sz="4" w:space="0"/>
              <w:left w:val="dotted" w:color="auto" w:sz="4" w:space="0"/>
              <w:bottom w:val="dotted" w:color="auto" w:sz="4" w:space="0"/>
              <w:right w:val="dotted" w:color="auto" w:sz="4" w:space="0"/>
            </w:tcBorders>
            <w:vAlign w:val="center"/>
          </w:tcPr>
          <w:p w14:paraId="15F6DB5F">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7,868,007.07</w:t>
            </w:r>
          </w:p>
        </w:tc>
        <w:tc>
          <w:tcPr>
            <w:tcW w:w="1493" w:type="dxa"/>
            <w:gridSpan w:val="2"/>
            <w:tcBorders>
              <w:top w:val="dotted" w:color="auto" w:sz="4" w:space="0"/>
              <w:left w:val="dotted" w:color="auto" w:sz="4" w:space="0"/>
              <w:bottom w:val="dotted" w:color="auto" w:sz="4" w:space="0"/>
            </w:tcBorders>
            <w:shd w:val="clear" w:color="auto" w:fill="auto"/>
            <w:vAlign w:val="center"/>
          </w:tcPr>
          <w:p w14:paraId="704741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338143.82</w:t>
            </w:r>
          </w:p>
        </w:tc>
      </w:tr>
      <w:tr w14:paraId="265A1C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4E87742D">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职工福利费</w:t>
            </w:r>
          </w:p>
        </w:tc>
        <w:tc>
          <w:tcPr>
            <w:tcW w:w="1663" w:type="dxa"/>
            <w:tcBorders>
              <w:top w:val="dotted" w:color="auto" w:sz="4" w:space="0"/>
              <w:left w:val="dotted" w:color="auto" w:sz="4" w:space="0"/>
              <w:bottom w:val="dotted" w:color="auto" w:sz="4" w:space="0"/>
              <w:right w:val="dotted" w:color="auto" w:sz="4" w:space="0"/>
            </w:tcBorders>
            <w:vAlign w:val="center"/>
          </w:tcPr>
          <w:p w14:paraId="437B41A7">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7229EC7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529,775.50</w:t>
            </w:r>
          </w:p>
        </w:tc>
        <w:tc>
          <w:tcPr>
            <w:tcW w:w="1606" w:type="dxa"/>
            <w:tcBorders>
              <w:top w:val="dotted" w:color="auto" w:sz="4" w:space="0"/>
              <w:left w:val="dotted" w:color="auto" w:sz="4" w:space="0"/>
              <w:bottom w:val="dotted" w:color="auto" w:sz="4" w:space="0"/>
              <w:right w:val="dotted" w:color="auto" w:sz="4" w:space="0"/>
            </w:tcBorders>
            <w:vAlign w:val="center"/>
          </w:tcPr>
          <w:p w14:paraId="2C40F6D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529,775.50</w:t>
            </w:r>
          </w:p>
        </w:tc>
        <w:tc>
          <w:tcPr>
            <w:tcW w:w="1493" w:type="dxa"/>
            <w:gridSpan w:val="2"/>
            <w:tcBorders>
              <w:top w:val="dotted" w:color="auto" w:sz="4" w:space="0"/>
              <w:left w:val="dotted" w:color="auto" w:sz="4" w:space="0"/>
              <w:bottom w:val="dotted" w:color="auto" w:sz="4" w:space="0"/>
            </w:tcBorders>
            <w:vAlign w:val="center"/>
          </w:tcPr>
          <w:p w14:paraId="48CBF58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0C7D0D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266D006C">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社会保险费</w:t>
            </w:r>
          </w:p>
        </w:tc>
        <w:tc>
          <w:tcPr>
            <w:tcW w:w="1663" w:type="dxa"/>
            <w:tcBorders>
              <w:top w:val="dotted" w:color="auto" w:sz="4" w:space="0"/>
              <w:left w:val="dotted" w:color="auto" w:sz="4" w:space="0"/>
              <w:bottom w:val="dotted" w:color="auto" w:sz="4" w:space="0"/>
              <w:right w:val="dotted" w:color="auto" w:sz="4" w:space="0"/>
            </w:tcBorders>
            <w:vAlign w:val="center"/>
          </w:tcPr>
          <w:p w14:paraId="2ED3CDD3">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71ECAD2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445,508.30</w:t>
            </w:r>
          </w:p>
        </w:tc>
        <w:tc>
          <w:tcPr>
            <w:tcW w:w="1606" w:type="dxa"/>
            <w:tcBorders>
              <w:top w:val="dotted" w:color="auto" w:sz="4" w:space="0"/>
              <w:left w:val="dotted" w:color="auto" w:sz="4" w:space="0"/>
              <w:bottom w:val="dotted" w:color="auto" w:sz="4" w:space="0"/>
              <w:right w:val="dotted" w:color="auto" w:sz="4" w:space="0"/>
            </w:tcBorders>
            <w:vAlign w:val="center"/>
          </w:tcPr>
          <w:p w14:paraId="7993231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445,508.30</w:t>
            </w:r>
          </w:p>
        </w:tc>
        <w:tc>
          <w:tcPr>
            <w:tcW w:w="1493" w:type="dxa"/>
            <w:gridSpan w:val="2"/>
            <w:tcBorders>
              <w:top w:val="dotted" w:color="auto" w:sz="4" w:space="0"/>
              <w:left w:val="dotted" w:color="auto" w:sz="4" w:space="0"/>
              <w:bottom w:val="dotted" w:color="auto" w:sz="4" w:space="0"/>
            </w:tcBorders>
            <w:vAlign w:val="center"/>
          </w:tcPr>
          <w:p w14:paraId="7004208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18B4CB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3D72BCE8">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其中：医疗保险费</w:t>
            </w:r>
          </w:p>
        </w:tc>
        <w:tc>
          <w:tcPr>
            <w:tcW w:w="1663" w:type="dxa"/>
            <w:tcBorders>
              <w:top w:val="dotted" w:color="auto" w:sz="4" w:space="0"/>
              <w:left w:val="dotted" w:color="auto" w:sz="4" w:space="0"/>
              <w:bottom w:val="dotted" w:color="auto" w:sz="4" w:space="0"/>
              <w:right w:val="dotted" w:color="auto" w:sz="4" w:space="0"/>
            </w:tcBorders>
            <w:vAlign w:val="center"/>
          </w:tcPr>
          <w:p w14:paraId="171AB18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3161CE7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424,281.27</w:t>
            </w:r>
          </w:p>
        </w:tc>
        <w:tc>
          <w:tcPr>
            <w:tcW w:w="1606" w:type="dxa"/>
            <w:tcBorders>
              <w:top w:val="dotted" w:color="auto" w:sz="4" w:space="0"/>
              <w:left w:val="dotted" w:color="auto" w:sz="4" w:space="0"/>
              <w:bottom w:val="dotted" w:color="auto" w:sz="4" w:space="0"/>
              <w:right w:val="dotted" w:color="auto" w:sz="4" w:space="0"/>
            </w:tcBorders>
            <w:vAlign w:val="center"/>
          </w:tcPr>
          <w:p w14:paraId="6514B3F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424,281.27</w:t>
            </w:r>
          </w:p>
        </w:tc>
        <w:tc>
          <w:tcPr>
            <w:tcW w:w="1493" w:type="dxa"/>
            <w:gridSpan w:val="2"/>
            <w:tcBorders>
              <w:top w:val="dotted" w:color="auto" w:sz="4" w:space="0"/>
              <w:left w:val="dotted" w:color="auto" w:sz="4" w:space="0"/>
              <w:bottom w:val="dotted" w:color="auto" w:sz="4" w:space="0"/>
            </w:tcBorders>
            <w:vAlign w:val="center"/>
          </w:tcPr>
          <w:p w14:paraId="46799C08">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3CE372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9" w:hRule="atLeast"/>
          <w:jc w:val="center"/>
        </w:trPr>
        <w:tc>
          <w:tcPr>
            <w:tcW w:w="2239" w:type="dxa"/>
            <w:tcBorders>
              <w:top w:val="dotted" w:color="auto" w:sz="4" w:space="0"/>
              <w:bottom w:val="dotted" w:color="auto" w:sz="4" w:space="0"/>
              <w:right w:val="dotted" w:color="auto" w:sz="4" w:space="0"/>
            </w:tcBorders>
            <w:vAlign w:val="center"/>
          </w:tcPr>
          <w:p w14:paraId="2134555F">
            <w:pPr>
              <w:keepNext w:val="0"/>
              <w:keepLines w:val="0"/>
              <w:widowControl/>
              <w:suppressLineNumbers w:val="0"/>
              <w:spacing w:before="0" w:beforeAutospacing="0" w:after="0" w:afterAutospacing="0"/>
              <w:ind w:left="0" w:right="0" w:firstLine="630" w:firstLineChars="30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工伤保险费</w:t>
            </w:r>
          </w:p>
        </w:tc>
        <w:tc>
          <w:tcPr>
            <w:tcW w:w="1663" w:type="dxa"/>
            <w:tcBorders>
              <w:top w:val="dotted" w:color="auto" w:sz="4" w:space="0"/>
              <w:left w:val="dotted" w:color="auto" w:sz="4" w:space="0"/>
              <w:bottom w:val="dotted" w:color="auto" w:sz="4" w:space="0"/>
              <w:right w:val="dotted" w:color="auto" w:sz="4" w:space="0"/>
            </w:tcBorders>
            <w:vAlign w:val="center"/>
          </w:tcPr>
          <w:p w14:paraId="39E900DC">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740F5BB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21,227.03</w:t>
            </w:r>
          </w:p>
        </w:tc>
        <w:tc>
          <w:tcPr>
            <w:tcW w:w="1606" w:type="dxa"/>
            <w:tcBorders>
              <w:top w:val="dotted" w:color="auto" w:sz="4" w:space="0"/>
              <w:left w:val="dotted" w:color="auto" w:sz="4" w:space="0"/>
              <w:bottom w:val="dotted" w:color="auto" w:sz="4" w:space="0"/>
              <w:right w:val="dotted" w:color="auto" w:sz="4" w:space="0"/>
            </w:tcBorders>
            <w:vAlign w:val="center"/>
          </w:tcPr>
          <w:p w14:paraId="151F46E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21,227.03</w:t>
            </w:r>
          </w:p>
        </w:tc>
        <w:tc>
          <w:tcPr>
            <w:tcW w:w="1493" w:type="dxa"/>
            <w:gridSpan w:val="2"/>
            <w:tcBorders>
              <w:top w:val="dotted" w:color="auto" w:sz="4" w:space="0"/>
              <w:left w:val="dotted" w:color="auto" w:sz="4" w:space="0"/>
              <w:bottom w:val="dotted" w:color="auto" w:sz="4" w:space="0"/>
            </w:tcBorders>
            <w:vAlign w:val="center"/>
          </w:tcPr>
          <w:p w14:paraId="56A4D083">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7AA59E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58C0A7B3">
            <w:pPr>
              <w:keepNext w:val="0"/>
              <w:keepLines w:val="0"/>
              <w:widowControl/>
              <w:suppressLineNumbers w:val="0"/>
              <w:spacing w:before="0" w:beforeAutospacing="0" w:after="0" w:afterAutospacing="0"/>
              <w:ind w:left="0" w:right="0" w:firstLine="630" w:firstLineChars="30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生育保险费</w:t>
            </w:r>
          </w:p>
        </w:tc>
        <w:tc>
          <w:tcPr>
            <w:tcW w:w="1663" w:type="dxa"/>
            <w:tcBorders>
              <w:top w:val="dotted" w:color="auto" w:sz="4" w:space="0"/>
              <w:left w:val="dotted" w:color="auto" w:sz="4" w:space="0"/>
              <w:bottom w:val="dotted" w:color="auto" w:sz="4" w:space="0"/>
              <w:right w:val="dotted" w:color="auto" w:sz="4" w:space="0"/>
            </w:tcBorders>
            <w:vAlign w:val="center"/>
          </w:tcPr>
          <w:p w14:paraId="377BB195">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415C26DD">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06" w:type="dxa"/>
            <w:tcBorders>
              <w:top w:val="dotted" w:color="auto" w:sz="4" w:space="0"/>
              <w:left w:val="dotted" w:color="auto" w:sz="4" w:space="0"/>
              <w:bottom w:val="dotted" w:color="auto" w:sz="4" w:space="0"/>
              <w:right w:val="dotted" w:color="auto" w:sz="4" w:space="0"/>
            </w:tcBorders>
            <w:vAlign w:val="center"/>
          </w:tcPr>
          <w:p w14:paraId="502B3688">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493" w:type="dxa"/>
            <w:gridSpan w:val="2"/>
            <w:tcBorders>
              <w:top w:val="dotted" w:color="auto" w:sz="4" w:space="0"/>
              <w:left w:val="dotted" w:color="auto" w:sz="4" w:space="0"/>
              <w:bottom w:val="dotted" w:color="auto" w:sz="4" w:space="0"/>
            </w:tcBorders>
            <w:vAlign w:val="center"/>
          </w:tcPr>
          <w:p w14:paraId="0E9CE64F">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1486ED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09F00228">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住房公积金</w:t>
            </w:r>
          </w:p>
        </w:tc>
        <w:tc>
          <w:tcPr>
            <w:tcW w:w="1663" w:type="dxa"/>
            <w:tcBorders>
              <w:top w:val="dotted" w:color="auto" w:sz="4" w:space="0"/>
              <w:left w:val="dotted" w:color="auto" w:sz="4" w:space="0"/>
              <w:bottom w:val="dotted" w:color="auto" w:sz="4" w:space="0"/>
              <w:right w:val="dotted" w:color="auto" w:sz="4" w:space="0"/>
            </w:tcBorders>
            <w:vAlign w:val="center"/>
          </w:tcPr>
          <w:p w14:paraId="2452BA5C">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3F751CB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528,917.96</w:t>
            </w:r>
          </w:p>
        </w:tc>
        <w:tc>
          <w:tcPr>
            <w:tcW w:w="1606" w:type="dxa"/>
            <w:tcBorders>
              <w:top w:val="dotted" w:color="auto" w:sz="4" w:space="0"/>
              <w:left w:val="dotted" w:color="auto" w:sz="4" w:space="0"/>
              <w:bottom w:val="dotted" w:color="auto" w:sz="4" w:space="0"/>
              <w:right w:val="dotted" w:color="auto" w:sz="4" w:space="0"/>
            </w:tcBorders>
            <w:vAlign w:val="center"/>
          </w:tcPr>
          <w:p w14:paraId="5B98F90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528,917.96</w:t>
            </w:r>
          </w:p>
        </w:tc>
        <w:tc>
          <w:tcPr>
            <w:tcW w:w="1493" w:type="dxa"/>
            <w:gridSpan w:val="2"/>
            <w:tcBorders>
              <w:top w:val="dotted" w:color="auto" w:sz="4" w:space="0"/>
              <w:left w:val="dotted" w:color="auto" w:sz="4" w:space="0"/>
              <w:bottom w:val="dotted" w:color="auto" w:sz="4" w:space="0"/>
            </w:tcBorders>
            <w:vAlign w:val="center"/>
          </w:tcPr>
          <w:p w14:paraId="58D4BB4E">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6BD99B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53994CD6">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工会经费和职工教育经费</w:t>
            </w:r>
          </w:p>
        </w:tc>
        <w:tc>
          <w:tcPr>
            <w:tcW w:w="1663" w:type="dxa"/>
            <w:tcBorders>
              <w:top w:val="dotted" w:color="auto" w:sz="4" w:space="0"/>
              <w:left w:val="dotted" w:color="auto" w:sz="4" w:space="0"/>
              <w:bottom w:val="dotted" w:color="auto" w:sz="4" w:space="0"/>
              <w:right w:val="dotted" w:color="auto" w:sz="4" w:space="0"/>
            </w:tcBorders>
            <w:vAlign w:val="center"/>
          </w:tcPr>
          <w:p w14:paraId="4B63B5BB">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1634" w:type="dxa"/>
            <w:tcBorders>
              <w:top w:val="dotted" w:color="auto" w:sz="4" w:space="0"/>
              <w:left w:val="dotted" w:color="auto" w:sz="4" w:space="0"/>
              <w:bottom w:val="dotted" w:color="auto" w:sz="4" w:space="0"/>
              <w:right w:val="dotted" w:color="auto" w:sz="4" w:space="0"/>
            </w:tcBorders>
            <w:vAlign w:val="center"/>
          </w:tcPr>
          <w:p w14:paraId="719743D9">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lang w:val="en-US"/>
              </w:rPr>
            </w:pPr>
            <w:r>
              <w:rPr>
                <w:rFonts w:hint="eastAsia" w:ascii="宋体" w:hAnsi="宋体" w:eastAsia="宋体" w:cs="宋体"/>
                <w:i w:val="0"/>
                <w:iCs w:val="0"/>
                <w:color w:val="000000"/>
                <w:kern w:val="0"/>
                <w:sz w:val="21"/>
                <w:szCs w:val="21"/>
                <w:highlight w:val="none"/>
                <w:u w:val="none"/>
                <w:lang w:val="en-US" w:eastAsia="zh-CN" w:bidi="ar"/>
              </w:rPr>
              <w:t>40,975.90</w:t>
            </w:r>
          </w:p>
        </w:tc>
        <w:tc>
          <w:tcPr>
            <w:tcW w:w="1606" w:type="dxa"/>
            <w:tcBorders>
              <w:top w:val="dotted" w:color="auto" w:sz="4" w:space="0"/>
              <w:left w:val="dotted" w:color="auto" w:sz="4" w:space="0"/>
              <w:bottom w:val="dotted" w:color="auto" w:sz="4" w:space="0"/>
              <w:right w:val="dotted" w:color="auto" w:sz="4" w:space="0"/>
            </w:tcBorders>
            <w:vAlign w:val="center"/>
          </w:tcPr>
          <w:p w14:paraId="30D2A91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lang w:val="en-US"/>
              </w:rPr>
            </w:pPr>
            <w:r>
              <w:rPr>
                <w:rFonts w:hint="eastAsia" w:ascii="宋体" w:hAnsi="宋体" w:eastAsia="宋体" w:cs="宋体"/>
                <w:i w:val="0"/>
                <w:iCs w:val="0"/>
                <w:color w:val="000000"/>
                <w:kern w:val="0"/>
                <w:sz w:val="21"/>
                <w:szCs w:val="21"/>
                <w:highlight w:val="none"/>
                <w:u w:val="none"/>
                <w:lang w:val="en-US" w:eastAsia="zh-CN" w:bidi="ar"/>
              </w:rPr>
              <w:t>40,975.90</w:t>
            </w:r>
          </w:p>
        </w:tc>
        <w:tc>
          <w:tcPr>
            <w:tcW w:w="1493" w:type="dxa"/>
            <w:gridSpan w:val="2"/>
            <w:tcBorders>
              <w:top w:val="dotted" w:color="auto" w:sz="4" w:space="0"/>
              <w:left w:val="dotted" w:color="auto" w:sz="4" w:space="0"/>
              <w:bottom w:val="dotted" w:color="auto" w:sz="4" w:space="0"/>
            </w:tcBorders>
            <w:vAlign w:val="center"/>
          </w:tcPr>
          <w:p w14:paraId="6699DA3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283CF1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dotted" w:color="auto" w:sz="4" w:space="0"/>
              <w:right w:val="dotted" w:color="auto" w:sz="4" w:space="0"/>
            </w:tcBorders>
            <w:vAlign w:val="center"/>
          </w:tcPr>
          <w:p w14:paraId="2FBAB65F">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其他短期薪酬</w:t>
            </w:r>
          </w:p>
        </w:tc>
        <w:tc>
          <w:tcPr>
            <w:tcW w:w="1663" w:type="dxa"/>
            <w:tcBorders>
              <w:top w:val="dotted" w:color="auto" w:sz="4" w:space="0"/>
              <w:left w:val="dotted" w:color="auto" w:sz="4" w:space="0"/>
              <w:bottom w:val="dotted" w:color="auto" w:sz="4" w:space="0"/>
              <w:right w:val="dotted" w:color="auto" w:sz="4" w:space="0"/>
            </w:tcBorders>
            <w:vAlign w:val="center"/>
          </w:tcPr>
          <w:p w14:paraId="039592E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3,000,738.56</w:t>
            </w:r>
          </w:p>
        </w:tc>
        <w:tc>
          <w:tcPr>
            <w:tcW w:w="1634" w:type="dxa"/>
            <w:tcBorders>
              <w:top w:val="dotted" w:color="auto" w:sz="4" w:space="0"/>
              <w:left w:val="dotted" w:color="auto" w:sz="4" w:space="0"/>
              <w:bottom w:val="dotted" w:color="auto" w:sz="4" w:space="0"/>
              <w:right w:val="dotted" w:color="auto" w:sz="4" w:space="0"/>
            </w:tcBorders>
            <w:vAlign w:val="center"/>
          </w:tcPr>
          <w:p w14:paraId="2F64977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2,094,950.02</w:t>
            </w:r>
          </w:p>
        </w:tc>
        <w:tc>
          <w:tcPr>
            <w:tcW w:w="1606" w:type="dxa"/>
            <w:tcBorders>
              <w:top w:val="dotted" w:color="auto" w:sz="4" w:space="0"/>
              <w:left w:val="dotted" w:color="auto" w:sz="4" w:space="0"/>
              <w:bottom w:val="dotted" w:color="auto" w:sz="4" w:space="0"/>
              <w:right w:val="dotted" w:color="auto" w:sz="4" w:space="0"/>
            </w:tcBorders>
            <w:vAlign w:val="center"/>
          </w:tcPr>
          <w:p w14:paraId="74211C5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1,342,356.26</w:t>
            </w:r>
          </w:p>
        </w:tc>
        <w:tc>
          <w:tcPr>
            <w:tcW w:w="1493" w:type="dxa"/>
            <w:gridSpan w:val="2"/>
            <w:tcBorders>
              <w:top w:val="dotted" w:color="auto" w:sz="4" w:space="0"/>
              <w:left w:val="dotted" w:color="auto" w:sz="4" w:space="0"/>
              <w:bottom w:val="dotted" w:color="auto" w:sz="4" w:space="0"/>
            </w:tcBorders>
            <w:vAlign w:val="center"/>
          </w:tcPr>
          <w:p w14:paraId="452F527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3,753,332.32</w:t>
            </w:r>
          </w:p>
        </w:tc>
      </w:tr>
      <w:tr w14:paraId="5FEB41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239" w:type="dxa"/>
            <w:tcBorders>
              <w:top w:val="dotted" w:color="auto" w:sz="4" w:space="0"/>
              <w:bottom w:val="single" w:color="auto" w:sz="12" w:space="0"/>
              <w:right w:val="dotted" w:color="auto" w:sz="4" w:space="0"/>
            </w:tcBorders>
            <w:vAlign w:val="center"/>
          </w:tcPr>
          <w:p w14:paraId="2978DF39">
            <w:pPr>
              <w:keepNext w:val="0"/>
              <w:keepLines w:val="0"/>
              <w:widowControl/>
              <w:suppressLineNumbers w:val="0"/>
              <w:spacing w:before="0" w:beforeAutospacing="0" w:after="0" w:afterAutospacing="0"/>
              <w:ind w:left="0" w:right="0"/>
              <w:jc w:val="center"/>
              <w:textAlignment w:val="center"/>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1663" w:type="dxa"/>
            <w:tcBorders>
              <w:top w:val="dotted" w:color="auto" w:sz="4" w:space="0"/>
              <w:left w:val="dotted" w:color="auto" w:sz="4" w:space="0"/>
              <w:bottom w:val="single" w:color="auto" w:sz="12" w:space="0"/>
              <w:right w:val="dotted" w:color="auto" w:sz="4" w:space="0"/>
            </w:tcBorders>
            <w:vAlign w:val="center"/>
          </w:tcPr>
          <w:p w14:paraId="5375A57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3,000,738.56</w:t>
            </w:r>
          </w:p>
        </w:tc>
        <w:tc>
          <w:tcPr>
            <w:tcW w:w="1634" w:type="dxa"/>
            <w:tcBorders>
              <w:top w:val="dotted" w:color="auto" w:sz="4" w:space="0"/>
              <w:left w:val="dotted" w:color="auto" w:sz="4" w:space="0"/>
              <w:bottom w:val="single" w:color="auto" w:sz="12" w:space="0"/>
              <w:right w:val="dotted" w:color="auto" w:sz="4" w:space="0"/>
            </w:tcBorders>
            <w:vAlign w:val="center"/>
          </w:tcPr>
          <w:p w14:paraId="17D8964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11,846,278.57</w:t>
            </w:r>
          </w:p>
        </w:tc>
        <w:tc>
          <w:tcPr>
            <w:tcW w:w="1606" w:type="dxa"/>
            <w:tcBorders>
              <w:top w:val="dotted" w:color="auto" w:sz="4" w:space="0"/>
              <w:left w:val="dotted" w:color="auto" w:sz="4" w:space="0"/>
              <w:bottom w:val="single" w:color="auto" w:sz="12" w:space="0"/>
              <w:right w:val="dotted" w:color="auto" w:sz="4" w:space="0"/>
            </w:tcBorders>
            <w:vAlign w:val="center"/>
          </w:tcPr>
          <w:p w14:paraId="4DD3591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10,755,540.99</w:t>
            </w:r>
          </w:p>
        </w:tc>
        <w:tc>
          <w:tcPr>
            <w:tcW w:w="1493" w:type="dxa"/>
            <w:gridSpan w:val="2"/>
            <w:tcBorders>
              <w:top w:val="dotted" w:color="auto" w:sz="4" w:space="0"/>
              <w:left w:val="dotted" w:color="auto" w:sz="4" w:space="0"/>
              <w:bottom w:val="single" w:color="auto" w:sz="12" w:space="0"/>
            </w:tcBorders>
            <w:vAlign w:val="center"/>
          </w:tcPr>
          <w:p w14:paraId="2D6F3C6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4,091,476.14</w:t>
            </w:r>
          </w:p>
        </w:tc>
      </w:tr>
    </w:tbl>
    <w:p w14:paraId="3E19557E">
      <w:pPr>
        <w:pStyle w:val="35"/>
        <w:spacing w:line="480" w:lineRule="exact"/>
        <w:ind w:left="48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设定提存计划列示</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125"/>
        <w:gridCol w:w="1530"/>
        <w:gridCol w:w="1801"/>
        <w:gridCol w:w="1667"/>
        <w:gridCol w:w="1399"/>
      </w:tblGrid>
      <w:tr w14:paraId="03B4D2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4" w:hRule="atLeast"/>
          <w:tblHeader/>
          <w:jc w:val="center"/>
        </w:trPr>
        <w:tc>
          <w:tcPr>
            <w:tcW w:w="2125" w:type="dxa"/>
            <w:tcBorders>
              <w:top w:val="single" w:color="auto" w:sz="12" w:space="0"/>
              <w:bottom w:val="dotted" w:color="auto" w:sz="4" w:space="0"/>
              <w:right w:val="dotted" w:color="auto" w:sz="4" w:space="0"/>
            </w:tcBorders>
            <w:vAlign w:val="center"/>
          </w:tcPr>
          <w:p w14:paraId="03BCB4E5">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530" w:type="dxa"/>
            <w:tcBorders>
              <w:top w:val="single" w:color="auto" w:sz="12" w:space="0"/>
              <w:left w:val="dotted" w:color="auto" w:sz="4" w:space="0"/>
              <w:bottom w:val="dotted" w:color="auto" w:sz="4" w:space="0"/>
              <w:right w:val="dotted" w:color="auto" w:sz="4" w:space="0"/>
            </w:tcBorders>
            <w:vAlign w:val="center"/>
          </w:tcPr>
          <w:p w14:paraId="303579FD">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c>
          <w:tcPr>
            <w:tcW w:w="1801" w:type="dxa"/>
            <w:tcBorders>
              <w:top w:val="single" w:color="auto" w:sz="12" w:space="0"/>
              <w:left w:val="dotted" w:color="auto" w:sz="4" w:space="0"/>
              <w:bottom w:val="dotted" w:color="auto" w:sz="4" w:space="0"/>
              <w:right w:val="dotted" w:color="auto" w:sz="4" w:space="0"/>
            </w:tcBorders>
            <w:vAlign w:val="center"/>
          </w:tcPr>
          <w:p w14:paraId="4D7FEFD5">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本期增加</w:t>
            </w:r>
          </w:p>
        </w:tc>
        <w:tc>
          <w:tcPr>
            <w:tcW w:w="1667" w:type="dxa"/>
            <w:tcBorders>
              <w:top w:val="single" w:color="auto" w:sz="12" w:space="0"/>
              <w:left w:val="dotted" w:color="auto" w:sz="4" w:space="0"/>
              <w:bottom w:val="dotted" w:color="auto" w:sz="4" w:space="0"/>
              <w:right w:val="dotted" w:color="auto" w:sz="4" w:space="0"/>
            </w:tcBorders>
            <w:vAlign w:val="center"/>
          </w:tcPr>
          <w:p w14:paraId="49368EF8">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本期减少</w:t>
            </w:r>
          </w:p>
        </w:tc>
        <w:tc>
          <w:tcPr>
            <w:tcW w:w="1399" w:type="dxa"/>
            <w:tcBorders>
              <w:top w:val="single" w:color="auto" w:sz="12" w:space="0"/>
              <w:left w:val="dotted" w:color="auto" w:sz="4" w:space="0"/>
              <w:bottom w:val="dotted" w:color="auto" w:sz="4" w:space="0"/>
            </w:tcBorders>
            <w:vAlign w:val="center"/>
          </w:tcPr>
          <w:p w14:paraId="27F6E071">
            <w:pPr>
              <w:keepNext w:val="0"/>
              <w:keepLines w:val="0"/>
              <w:widowControl/>
              <w:suppressLineNumbers w:val="0"/>
              <w:spacing w:before="0" w:beforeAutospacing="0" w:after="0" w:afterAutospacing="0"/>
              <w:ind w:left="0" w:right="0"/>
              <w:jc w:val="center"/>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r>
      <w:tr w14:paraId="3579CD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4" w:hRule="atLeast"/>
          <w:jc w:val="center"/>
        </w:trPr>
        <w:tc>
          <w:tcPr>
            <w:tcW w:w="2125" w:type="dxa"/>
            <w:tcBorders>
              <w:top w:val="dotted" w:color="auto" w:sz="4" w:space="0"/>
              <w:bottom w:val="dotted" w:color="auto" w:sz="4" w:space="0"/>
              <w:right w:val="dotted" w:color="auto" w:sz="4" w:space="0"/>
            </w:tcBorders>
            <w:vAlign w:val="center"/>
          </w:tcPr>
          <w:p w14:paraId="7DD06850">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基本养老保险</w:t>
            </w:r>
          </w:p>
        </w:tc>
        <w:tc>
          <w:tcPr>
            <w:tcW w:w="1530" w:type="dxa"/>
            <w:tcBorders>
              <w:top w:val="dotted" w:color="auto" w:sz="4" w:space="0"/>
              <w:left w:val="dotted" w:color="auto" w:sz="4" w:space="0"/>
              <w:bottom w:val="dotted" w:color="auto" w:sz="4" w:space="0"/>
              <w:right w:val="dotted" w:color="auto" w:sz="4" w:space="0"/>
            </w:tcBorders>
            <w:vAlign w:val="center"/>
          </w:tcPr>
          <w:p w14:paraId="4EC125EE">
            <w:pPr>
              <w:keepNext w:val="0"/>
              <w:keepLines w:val="0"/>
              <w:suppressLineNumbers w:val="0"/>
              <w:spacing w:before="0" w:beforeAutospacing="0" w:after="0" w:afterAutospacing="0"/>
              <w:ind w:left="0" w:right="0"/>
              <w:jc w:val="right"/>
              <w:rPr>
                <w:rFonts w:hint="default" w:cs="宋体" w:asciiTheme="minorEastAsia" w:hAnsiTheme="minorEastAsia" w:eastAsiaTheme="minorEastAsia"/>
                <w:highlight w:val="none"/>
              </w:rPr>
            </w:pPr>
          </w:p>
        </w:tc>
        <w:tc>
          <w:tcPr>
            <w:tcW w:w="1801" w:type="dxa"/>
            <w:tcBorders>
              <w:top w:val="dotted" w:color="auto" w:sz="4" w:space="0"/>
              <w:left w:val="dotted" w:color="auto" w:sz="4" w:space="0"/>
              <w:bottom w:val="dotted" w:color="auto" w:sz="4" w:space="0"/>
              <w:right w:val="dotted" w:color="auto" w:sz="4" w:space="0"/>
            </w:tcBorders>
            <w:vAlign w:val="center"/>
          </w:tcPr>
          <w:p w14:paraId="61D1102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781,554.26</w:t>
            </w:r>
          </w:p>
        </w:tc>
        <w:tc>
          <w:tcPr>
            <w:tcW w:w="1667" w:type="dxa"/>
            <w:tcBorders>
              <w:top w:val="dotted" w:color="auto" w:sz="4" w:space="0"/>
              <w:left w:val="dotted" w:color="auto" w:sz="4" w:space="0"/>
              <w:bottom w:val="dotted" w:color="auto" w:sz="4" w:space="0"/>
              <w:right w:val="dotted" w:color="auto" w:sz="4" w:space="0"/>
            </w:tcBorders>
            <w:vAlign w:val="center"/>
          </w:tcPr>
          <w:p w14:paraId="5D2680F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781,554.26</w:t>
            </w:r>
          </w:p>
        </w:tc>
        <w:tc>
          <w:tcPr>
            <w:tcW w:w="1399" w:type="dxa"/>
            <w:tcBorders>
              <w:top w:val="dotted" w:color="auto" w:sz="4" w:space="0"/>
              <w:left w:val="dotted" w:color="auto" w:sz="4" w:space="0"/>
              <w:bottom w:val="dotted" w:color="auto" w:sz="4" w:space="0"/>
            </w:tcBorders>
            <w:vAlign w:val="center"/>
          </w:tcPr>
          <w:p w14:paraId="010F416B">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18D5F7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9" w:hRule="atLeast"/>
          <w:jc w:val="center"/>
        </w:trPr>
        <w:tc>
          <w:tcPr>
            <w:tcW w:w="2125" w:type="dxa"/>
            <w:tcBorders>
              <w:top w:val="dotted" w:color="auto" w:sz="4" w:space="0"/>
              <w:bottom w:val="dotted" w:color="auto" w:sz="4" w:space="0"/>
              <w:right w:val="dotted" w:color="auto" w:sz="4" w:space="0"/>
            </w:tcBorders>
            <w:vAlign w:val="center"/>
          </w:tcPr>
          <w:p w14:paraId="42862154">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补充养老保险</w:t>
            </w:r>
          </w:p>
        </w:tc>
        <w:tc>
          <w:tcPr>
            <w:tcW w:w="1530" w:type="dxa"/>
            <w:tcBorders>
              <w:top w:val="dotted" w:color="auto" w:sz="4" w:space="0"/>
              <w:left w:val="dotted" w:color="auto" w:sz="4" w:space="0"/>
              <w:bottom w:val="dotted" w:color="auto" w:sz="4" w:space="0"/>
              <w:right w:val="dotted" w:color="auto" w:sz="4" w:space="0"/>
            </w:tcBorders>
            <w:vAlign w:val="center"/>
          </w:tcPr>
          <w:p w14:paraId="5153B891">
            <w:pPr>
              <w:keepNext w:val="0"/>
              <w:keepLines w:val="0"/>
              <w:suppressLineNumbers w:val="0"/>
              <w:spacing w:before="0" w:beforeAutospacing="0" w:after="0" w:afterAutospacing="0"/>
              <w:ind w:left="0" w:right="0"/>
              <w:jc w:val="right"/>
              <w:rPr>
                <w:rFonts w:hint="default" w:cs="宋体" w:asciiTheme="minorEastAsia" w:hAnsiTheme="minorEastAsia" w:eastAsiaTheme="minorEastAsia"/>
                <w:highlight w:val="none"/>
              </w:rPr>
            </w:pPr>
          </w:p>
        </w:tc>
        <w:tc>
          <w:tcPr>
            <w:tcW w:w="1801" w:type="dxa"/>
            <w:tcBorders>
              <w:top w:val="dotted" w:color="auto" w:sz="4" w:space="0"/>
              <w:left w:val="dotted" w:color="auto" w:sz="4" w:space="0"/>
              <w:bottom w:val="dotted" w:color="auto" w:sz="4" w:space="0"/>
              <w:right w:val="dotted" w:color="auto" w:sz="4" w:space="0"/>
            </w:tcBorders>
            <w:vAlign w:val="center"/>
          </w:tcPr>
          <w:p w14:paraId="5F319D76">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85,798.08</w:t>
            </w:r>
          </w:p>
        </w:tc>
        <w:tc>
          <w:tcPr>
            <w:tcW w:w="1667" w:type="dxa"/>
            <w:tcBorders>
              <w:top w:val="dotted" w:color="auto" w:sz="4" w:space="0"/>
              <w:left w:val="dotted" w:color="auto" w:sz="4" w:space="0"/>
              <w:bottom w:val="dotted" w:color="auto" w:sz="4" w:space="0"/>
              <w:right w:val="dotted" w:color="auto" w:sz="4" w:space="0"/>
            </w:tcBorders>
            <w:vAlign w:val="center"/>
          </w:tcPr>
          <w:p w14:paraId="2264BFB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85,798.08</w:t>
            </w:r>
          </w:p>
        </w:tc>
        <w:tc>
          <w:tcPr>
            <w:tcW w:w="1399" w:type="dxa"/>
            <w:tcBorders>
              <w:top w:val="dotted" w:color="auto" w:sz="4" w:space="0"/>
              <w:left w:val="dotted" w:color="auto" w:sz="4" w:space="0"/>
              <w:bottom w:val="dotted" w:color="auto" w:sz="4" w:space="0"/>
            </w:tcBorders>
            <w:vAlign w:val="center"/>
          </w:tcPr>
          <w:p w14:paraId="20E80975">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2E3EB6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4" w:hRule="atLeast"/>
          <w:jc w:val="center"/>
        </w:trPr>
        <w:tc>
          <w:tcPr>
            <w:tcW w:w="2125" w:type="dxa"/>
            <w:tcBorders>
              <w:top w:val="dotted" w:color="auto" w:sz="4" w:space="0"/>
              <w:bottom w:val="dotted" w:color="auto" w:sz="4" w:space="0"/>
              <w:right w:val="dotted" w:color="auto" w:sz="4" w:space="0"/>
            </w:tcBorders>
            <w:vAlign w:val="center"/>
          </w:tcPr>
          <w:p w14:paraId="0129ACBE">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失业保险费</w:t>
            </w:r>
          </w:p>
        </w:tc>
        <w:tc>
          <w:tcPr>
            <w:tcW w:w="1530" w:type="dxa"/>
            <w:tcBorders>
              <w:top w:val="dotted" w:color="auto" w:sz="4" w:space="0"/>
              <w:left w:val="dotted" w:color="auto" w:sz="4" w:space="0"/>
              <w:bottom w:val="dotted" w:color="auto" w:sz="4" w:space="0"/>
              <w:right w:val="dotted" w:color="auto" w:sz="4" w:space="0"/>
            </w:tcBorders>
            <w:vAlign w:val="center"/>
          </w:tcPr>
          <w:p w14:paraId="774EEFF8">
            <w:pPr>
              <w:keepNext w:val="0"/>
              <w:keepLines w:val="0"/>
              <w:suppressLineNumbers w:val="0"/>
              <w:spacing w:before="0" w:beforeAutospacing="0" w:after="0" w:afterAutospacing="0"/>
              <w:ind w:left="0" w:right="0"/>
              <w:jc w:val="right"/>
              <w:rPr>
                <w:rFonts w:hint="default" w:cs="宋体" w:asciiTheme="minorEastAsia" w:hAnsiTheme="minorEastAsia" w:eastAsiaTheme="minorEastAsia"/>
                <w:highlight w:val="none"/>
              </w:rPr>
            </w:pPr>
          </w:p>
        </w:tc>
        <w:tc>
          <w:tcPr>
            <w:tcW w:w="1801" w:type="dxa"/>
            <w:tcBorders>
              <w:top w:val="dotted" w:color="auto" w:sz="4" w:space="0"/>
              <w:left w:val="dotted" w:color="auto" w:sz="4" w:space="0"/>
              <w:bottom w:val="dotted" w:color="auto" w:sz="4" w:space="0"/>
              <w:right w:val="dotted" w:color="auto" w:sz="4" w:space="0"/>
            </w:tcBorders>
            <w:vAlign w:val="center"/>
          </w:tcPr>
          <w:p w14:paraId="144368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3,696.33</w:t>
            </w:r>
          </w:p>
        </w:tc>
        <w:tc>
          <w:tcPr>
            <w:tcW w:w="1667" w:type="dxa"/>
            <w:tcBorders>
              <w:top w:val="dotted" w:color="auto" w:sz="4" w:space="0"/>
              <w:left w:val="dotted" w:color="auto" w:sz="4" w:space="0"/>
              <w:bottom w:val="dotted" w:color="auto" w:sz="4" w:space="0"/>
              <w:right w:val="dotted" w:color="auto" w:sz="4" w:space="0"/>
            </w:tcBorders>
            <w:vAlign w:val="center"/>
          </w:tcPr>
          <w:p w14:paraId="4B338A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3,696.33</w:t>
            </w:r>
          </w:p>
        </w:tc>
        <w:tc>
          <w:tcPr>
            <w:tcW w:w="1399" w:type="dxa"/>
            <w:tcBorders>
              <w:top w:val="dotted" w:color="auto" w:sz="4" w:space="0"/>
              <w:left w:val="dotted" w:color="auto" w:sz="4" w:space="0"/>
              <w:bottom w:val="dotted" w:color="auto" w:sz="4" w:space="0"/>
            </w:tcBorders>
            <w:vAlign w:val="center"/>
          </w:tcPr>
          <w:p w14:paraId="73595D2F">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kern w:val="0"/>
                <w:sz w:val="21"/>
                <w:szCs w:val="21"/>
                <w:highlight w:val="none"/>
                <w:u w:val="none"/>
                <w:lang w:val="en-US" w:eastAsia="zh-CN" w:bidi="ar"/>
              </w:rPr>
            </w:pPr>
          </w:p>
        </w:tc>
      </w:tr>
      <w:tr w14:paraId="016CA3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9" w:hRule="atLeast"/>
          <w:jc w:val="center"/>
        </w:trPr>
        <w:tc>
          <w:tcPr>
            <w:tcW w:w="2125" w:type="dxa"/>
            <w:tcBorders>
              <w:top w:val="dotted" w:color="auto" w:sz="4" w:space="0"/>
              <w:bottom w:val="single" w:color="auto" w:sz="12" w:space="0"/>
              <w:right w:val="dotted" w:color="auto" w:sz="4" w:space="0"/>
            </w:tcBorders>
            <w:vAlign w:val="center"/>
          </w:tcPr>
          <w:p w14:paraId="506323F5">
            <w:pPr>
              <w:keepNext w:val="0"/>
              <w:keepLines w:val="0"/>
              <w:widowControl/>
              <w:suppressLineNumbers w:val="0"/>
              <w:spacing w:before="0" w:beforeAutospacing="0" w:after="0" w:afterAutospacing="0"/>
              <w:ind w:left="0" w:right="0"/>
              <w:jc w:val="center"/>
              <w:textAlignment w:val="center"/>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1530" w:type="dxa"/>
            <w:tcBorders>
              <w:top w:val="dotted" w:color="auto" w:sz="4" w:space="0"/>
              <w:left w:val="dotted" w:color="auto" w:sz="4" w:space="0"/>
              <w:bottom w:val="single" w:color="auto" w:sz="12" w:space="0"/>
              <w:right w:val="dotted" w:color="auto" w:sz="4" w:space="0"/>
            </w:tcBorders>
            <w:vAlign w:val="center"/>
          </w:tcPr>
          <w:p w14:paraId="5CA07080">
            <w:pPr>
              <w:keepNext w:val="0"/>
              <w:keepLines w:val="0"/>
              <w:suppressLineNumbers w:val="0"/>
              <w:spacing w:before="0" w:beforeAutospacing="0" w:after="0" w:afterAutospacing="0"/>
              <w:ind w:left="0" w:right="0"/>
              <w:jc w:val="right"/>
              <w:rPr>
                <w:rFonts w:hint="default" w:cs="宋体" w:asciiTheme="minorEastAsia" w:hAnsiTheme="minorEastAsia" w:eastAsiaTheme="minorEastAsia"/>
                <w:highlight w:val="none"/>
              </w:rPr>
            </w:pPr>
          </w:p>
        </w:tc>
        <w:tc>
          <w:tcPr>
            <w:tcW w:w="1801" w:type="dxa"/>
            <w:tcBorders>
              <w:top w:val="dotted" w:color="auto" w:sz="4" w:space="0"/>
              <w:left w:val="dotted" w:color="auto" w:sz="4" w:space="0"/>
              <w:bottom w:val="single" w:color="auto" w:sz="12" w:space="0"/>
              <w:right w:val="dotted" w:color="auto" w:sz="4" w:space="0"/>
            </w:tcBorders>
            <w:vAlign w:val="center"/>
          </w:tcPr>
          <w:p w14:paraId="17AE02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871,048.67</w:t>
            </w:r>
          </w:p>
        </w:tc>
        <w:tc>
          <w:tcPr>
            <w:tcW w:w="1667" w:type="dxa"/>
            <w:tcBorders>
              <w:top w:val="dotted" w:color="auto" w:sz="4" w:space="0"/>
              <w:left w:val="dotted" w:color="auto" w:sz="4" w:space="0"/>
              <w:bottom w:val="single" w:color="auto" w:sz="12" w:space="0"/>
              <w:right w:val="dotted" w:color="auto" w:sz="4" w:space="0"/>
            </w:tcBorders>
            <w:vAlign w:val="center"/>
          </w:tcPr>
          <w:p w14:paraId="495620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871,048.67</w:t>
            </w:r>
          </w:p>
        </w:tc>
        <w:tc>
          <w:tcPr>
            <w:tcW w:w="1399" w:type="dxa"/>
            <w:tcBorders>
              <w:top w:val="dotted" w:color="auto" w:sz="4" w:space="0"/>
              <w:left w:val="dotted" w:color="auto" w:sz="4" w:space="0"/>
              <w:bottom w:val="single" w:color="auto" w:sz="12" w:space="0"/>
            </w:tcBorders>
            <w:vAlign w:val="center"/>
          </w:tcPr>
          <w:p w14:paraId="2519572D">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kern w:val="0"/>
                <w:sz w:val="21"/>
                <w:szCs w:val="21"/>
                <w:highlight w:val="none"/>
                <w:u w:val="none"/>
                <w:lang w:val="en-US" w:eastAsia="zh-CN" w:bidi="ar"/>
              </w:rPr>
            </w:pPr>
          </w:p>
        </w:tc>
      </w:tr>
    </w:tbl>
    <w:p w14:paraId="46AE5EDC">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十一</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应交税费</w:t>
      </w:r>
    </w:p>
    <w:tbl>
      <w:tblPr>
        <w:tblStyle w:val="22"/>
        <w:tblW w:w="4982" w:type="pct"/>
        <w:jc w:val="center"/>
        <w:tblLayout w:type="autofit"/>
        <w:tblCellMar>
          <w:top w:w="0" w:type="dxa"/>
          <w:left w:w="108" w:type="dxa"/>
          <w:bottom w:w="0" w:type="dxa"/>
          <w:right w:w="108" w:type="dxa"/>
        </w:tblCellMar>
      </w:tblPr>
      <w:tblGrid>
        <w:gridCol w:w="3566"/>
        <w:gridCol w:w="2555"/>
        <w:gridCol w:w="2370"/>
      </w:tblGrid>
      <w:tr w14:paraId="4719C805">
        <w:tblPrEx>
          <w:tblCellMar>
            <w:top w:w="0" w:type="dxa"/>
            <w:left w:w="108" w:type="dxa"/>
            <w:bottom w:w="0" w:type="dxa"/>
            <w:right w:w="108" w:type="dxa"/>
          </w:tblCellMar>
        </w:tblPrEx>
        <w:trPr>
          <w:trHeight w:val="454" w:hRule="exact"/>
          <w:jc w:val="center"/>
        </w:trPr>
        <w:tc>
          <w:tcPr>
            <w:tcW w:w="3567" w:type="dxa"/>
            <w:tcBorders>
              <w:top w:val="single" w:color="auto" w:sz="12" w:space="0"/>
              <w:bottom w:val="dotted" w:color="auto" w:sz="4" w:space="0"/>
              <w:right w:val="dotted" w:color="auto" w:sz="4" w:space="0"/>
            </w:tcBorders>
            <w:vAlign w:val="center"/>
          </w:tcPr>
          <w:p w14:paraId="4A604D01">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555" w:type="dxa"/>
            <w:tcBorders>
              <w:top w:val="single" w:color="auto" w:sz="12" w:space="0"/>
              <w:left w:val="dotted" w:color="auto" w:sz="4" w:space="0"/>
              <w:bottom w:val="dotted" w:color="auto" w:sz="4" w:space="0"/>
              <w:right w:val="dotted" w:color="auto" w:sz="4" w:space="0"/>
            </w:tcBorders>
            <w:vAlign w:val="center"/>
          </w:tcPr>
          <w:p w14:paraId="57BDF03B">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370" w:type="dxa"/>
            <w:tcBorders>
              <w:top w:val="single" w:color="auto" w:sz="12" w:space="0"/>
              <w:left w:val="dotted" w:color="auto" w:sz="4" w:space="0"/>
              <w:bottom w:val="dotted" w:color="auto" w:sz="4" w:space="0"/>
            </w:tcBorders>
            <w:vAlign w:val="center"/>
          </w:tcPr>
          <w:p w14:paraId="45AA7E27">
            <w:pPr>
              <w:keepNext w:val="0"/>
              <w:keepLines w:val="0"/>
              <w:widowControl/>
              <w:suppressLineNumbers w:val="0"/>
              <w:spacing w:before="0" w:beforeAutospacing="0" w:after="0" w:afterAutospacing="0"/>
              <w:ind w:left="0" w:right="0"/>
              <w:jc w:val="center"/>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2003CBBA">
        <w:tblPrEx>
          <w:tblCellMar>
            <w:top w:w="0" w:type="dxa"/>
            <w:left w:w="108" w:type="dxa"/>
            <w:bottom w:w="0" w:type="dxa"/>
            <w:right w:w="108" w:type="dxa"/>
          </w:tblCellMar>
        </w:tblPrEx>
        <w:trPr>
          <w:trHeight w:val="454" w:hRule="exact"/>
          <w:jc w:val="center"/>
        </w:trPr>
        <w:tc>
          <w:tcPr>
            <w:tcW w:w="3567" w:type="dxa"/>
            <w:tcBorders>
              <w:top w:val="dotted" w:color="auto" w:sz="4" w:space="0"/>
              <w:bottom w:val="dotted" w:color="auto" w:sz="4" w:space="0"/>
              <w:right w:val="dotted" w:color="auto" w:sz="4" w:space="0"/>
            </w:tcBorders>
            <w:vAlign w:val="center"/>
          </w:tcPr>
          <w:p w14:paraId="36C5AA98">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应交增值税</w:t>
            </w:r>
          </w:p>
        </w:tc>
        <w:tc>
          <w:tcPr>
            <w:tcW w:w="2555" w:type="dxa"/>
            <w:tcBorders>
              <w:top w:val="dotted" w:color="auto" w:sz="4" w:space="0"/>
              <w:left w:val="dotted" w:color="auto" w:sz="4" w:space="0"/>
              <w:bottom w:val="dotted" w:color="auto" w:sz="4" w:space="0"/>
              <w:right w:val="dotted" w:color="auto" w:sz="4" w:space="0"/>
            </w:tcBorders>
            <w:vAlign w:val="center"/>
          </w:tcPr>
          <w:p w14:paraId="55A23BCF">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66,355.72</w:t>
            </w:r>
          </w:p>
        </w:tc>
        <w:tc>
          <w:tcPr>
            <w:tcW w:w="2370" w:type="dxa"/>
            <w:tcBorders>
              <w:top w:val="dotted" w:color="auto" w:sz="4" w:space="0"/>
              <w:left w:val="dotted" w:color="auto" w:sz="4" w:space="0"/>
              <w:bottom w:val="dotted" w:color="auto" w:sz="4" w:space="0"/>
            </w:tcBorders>
            <w:vAlign w:val="center"/>
          </w:tcPr>
          <w:p w14:paraId="604DA6A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93,671.07</w:t>
            </w:r>
          </w:p>
        </w:tc>
      </w:tr>
      <w:tr w14:paraId="1B7CFBE8">
        <w:tblPrEx>
          <w:tblCellMar>
            <w:top w:w="0" w:type="dxa"/>
            <w:left w:w="108" w:type="dxa"/>
            <w:bottom w:w="0" w:type="dxa"/>
            <w:right w:w="108" w:type="dxa"/>
          </w:tblCellMar>
        </w:tblPrEx>
        <w:trPr>
          <w:trHeight w:val="454" w:hRule="exact"/>
          <w:jc w:val="center"/>
        </w:trPr>
        <w:tc>
          <w:tcPr>
            <w:tcW w:w="3567" w:type="dxa"/>
            <w:tcBorders>
              <w:top w:val="dotted" w:color="auto" w:sz="4" w:space="0"/>
              <w:bottom w:val="dotted" w:color="auto" w:sz="4" w:space="0"/>
              <w:right w:val="dotted" w:color="auto" w:sz="4" w:space="0"/>
            </w:tcBorders>
            <w:vAlign w:val="center"/>
          </w:tcPr>
          <w:p w14:paraId="3A3C8DD8">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应交税金及附加</w:t>
            </w:r>
          </w:p>
        </w:tc>
        <w:tc>
          <w:tcPr>
            <w:tcW w:w="2555" w:type="dxa"/>
            <w:tcBorders>
              <w:top w:val="dotted" w:color="auto" w:sz="4" w:space="0"/>
              <w:left w:val="dotted" w:color="auto" w:sz="4" w:space="0"/>
              <w:bottom w:val="dotted" w:color="auto" w:sz="4" w:space="0"/>
              <w:right w:val="dotted" w:color="auto" w:sz="4" w:space="0"/>
            </w:tcBorders>
            <w:vAlign w:val="center"/>
          </w:tcPr>
          <w:p w14:paraId="209B9A8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7,962.68</w:t>
            </w:r>
          </w:p>
        </w:tc>
        <w:tc>
          <w:tcPr>
            <w:tcW w:w="2370" w:type="dxa"/>
            <w:tcBorders>
              <w:top w:val="dotted" w:color="auto" w:sz="4" w:space="0"/>
              <w:left w:val="dotted" w:color="auto" w:sz="4" w:space="0"/>
              <w:bottom w:val="dotted" w:color="auto" w:sz="4" w:space="0"/>
            </w:tcBorders>
            <w:vAlign w:val="center"/>
          </w:tcPr>
          <w:p w14:paraId="70F29C29">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18,526.72</w:t>
            </w:r>
          </w:p>
        </w:tc>
      </w:tr>
      <w:tr w14:paraId="4803EAA5">
        <w:tblPrEx>
          <w:tblCellMar>
            <w:top w:w="0" w:type="dxa"/>
            <w:left w:w="108" w:type="dxa"/>
            <w:bottom w:w="0" w:type="dxa"/>
            <w:right w:w="108" w:type="dxa"/>
          </w:tblCellMar>
        </w:tblPrEx>
        <w:trPr>
          <w:trHeight w:val="454" w:hRule="exact"/>
          <w:jc w:val="center"/>
        </w:trPr>
        <w:tc>
          <w:tcPr>
            <w:tcW w:w="3567" w:type="dxa"/>
            <w:tcBorders>
              <w:top w:val="dotted" w:color="auto" w:sz="4" w:space="0"/>
              <w:bottom w:val="dotted" w:color="auto" w:sz="4" w:space="0"/>
              <w:right w:val="dotted" w:color="auto" w:sz="4" w:space="0"/>
            </w:tcBorders>
            <w:vAlign w:val="center"/>
          </w:tcPr>
          <w:p w14:paraId="1D1F925F">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应交企业所得税</w:t>
            </w:r>
          </w:p>
        </w:tc>
        <w:tc>
          <w:tcPr>
            <w:tcW w:w="2555" w:type="dxa"/>
            <w:tcBorders>
              <w:top w:val="dotted" w:color="auto" w:sz="4" w:space="0"/>
              <w:left w:val="dotted" w:color="auto" w:sz="4" w:space="0"/>
              <w:bottom w:val="dotted" w:color="auto" w:sz="4" w:space="0"/>
              <w:right w:val="dotted" w:color="auto" w:sz="4" w:space="0"/>
            </w:tcBorders>
            <w:vAlign w:val="center"/>
          </w:tcPr>
          <w:p w14:paraId="09BD37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3,371,834.92</w:t>
            </w:r>
          </w:p>
        </w:tc>
        <w:tc>
          <w:tcPr>
            <w:tcW w:w="2370" w:type="dxa"/>
            <w:tcBorders>
              <w:top w:val="dotted" w:color="auto" w:sz="4" w:space="0"/>
              <w:left w:val="dotted" w:color="auto" w:sz="4" w:space="0"/>
              <w:bottom w:val="dotted" w:color="auto" w:sz="4" w:space="0"/>
            </w:tcBorders>
            <w:vAlign w:val="center"/>
          </w:tcPr>
          <w:p w14:paraId="4FB233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2,441,207.55</w:t>
            </w:r>
          </w:p>
        </w:tc>
      </w:tr>
      <w:tr w14:paraId="57DCF172">
        <w:tblPrEx>
          <w:tblCellMar>
            <w:top w:w="0" w:type="dxa"/>
            <w:left w:w="108" w:type="dxa"/>
            <w:bottom w:w="0" w:type="dxa"/>
            <w:right w:w="108" w:type="dxa"/>
          </w:tblCellMar>
        </w:tblPrEx>
        <w:trPr>
          <w:trHeight w:val="454" w:hRule="exact"/>
          <w:jc w:val="center"/>
        </w:trPr>
        <w:tc>
          <w:tcPr>
            <w:tcW w:w="3567" w:type="dxa"/>
            <w:tcBorders>
              <w:top w:val="dotted" w:color="auto" w:sz="4" w:space="0"/>
              <w:bottom w:val="dotted" w:color="auto" w:sz="4" w:space="0"/>
              <w:right w:val="dotted" w:color="auto" w:sz="4" w:space="0"/>
            </w:tcBorders>
            <w:vAlign w:val="center"/>
          </w:tcPr>
          <w:p w14:paraId="0C67FD1F">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应交其他税费</w:t>
            </w:r>
          </w:p>
        </w:tc>
        <w:tc>
          <w:tcPr>
            <w:tcW w:w="2555" w:type="dxa"/>
            <w:tcBorders>
              <w:top w:val="dotted" w:color="auto" w:sz="4" w:space="0"/>
              <w:left w:val="dotted" w:color="auto" w:sz="4" w:space="0"/>
              <w:bottom w:val="dotted" w:color="auto" w:sz="4" w:space="0"/>
              <w:right w:val="dotted" w:color="auto" w:sz="4" w:space="0"/>
            </w:tcBorders>
            <w:vAlign w:val="center"/>
          </w:tcPr>
          <w:p w14:paraId="0D656DE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8476.54</w:t>
            </w:r>
          </w:p>
        </w:tc>
        <w:tc>
          <w:tcPr>
            <w:tcW w:w="2370" w:type="dxa"/>
            <w:tcBorders>
              <w:top w:val="dotted" w:color="auto" w:sz="4" w:space="0"/>
              <w:left w:val="dotted" w:color="auto" w:sz="4" w:space="0"/>
              <w:bottom w:val="dotted" w:color="auto" w:sz="4" w:space="0"/>
            </w:tcBorders>
            <w:vAlign w:val="center"/>
          </w:tcPr>
          <w:p w14:paraId="6C38A77A">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0060C26B">
        <w:tblPrEx>
          <w:tblCellMar>
            <w:top w:w="0" w:type="dxa"/>
            <w:left w:w="108" w:type="dxa"/>
            <w:bottom w:w="0" w:type="dxa"/>
            <w:right w:w="108" w:type="dxa"/>
          </w:tblCellMar>
        </w:tblPrEx>
        <w:trPr>
          <w:trHeight w:val="454" w:hRule="exact"/>
          <w:jc w:val="center"/>
        </w:trPr>
        <w:tc>
          <w:tcPr>
            <w:tcW w:w="3567" w:type="dxa"/>
            <w:tcBorders>
              <w:top w:val="dotted" w:color="auto" w:sz="4" w:space="0"/>
              <w:bottom w:val="dotted" w:color="auto" w:sz="4" w:space="0"/>
              <w:right w:val="dotted" w:color="auto" w:sz="4" w:space="0"/>
            </w:tcBorders>
            <w:vAlign w:val="center"/>
          </w:tcPr>
          <w:p w14:paraId="10C7575F">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应缴代扣个人所得税</w:t>
            </w:r>
          </w:p>
        </w:tc>
        <w:tc>
          <w:tcPr>
            <w:tcW w:w="2555" w:type="dxa"/>
            <w:tcBorders>
              <w:top w:val="dotted" w:color="auto" w:sz="4" w:space="0"/>
              <w:left w:val="dotted" w:color="auto" w:sz="4" w:space="0"/>
              <w:bottom w:val="dotted" w:color="auto" w:sz="4" w:space="0"/>
              <w:right w:val="dotted" w:color="auto" w:sz="4" w:space="0"/>
            </w:tcBorders>
            <w:vAlign w:val="center"/>
          </w:tcPr>
          <w:p w14:paraId="38620229">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2,347.00</w:t>
            </w:r>
          </w:p>
        </w:tc>
        <w:tc>
          <w:tcPr>
            <w:tcW w:w="2370" w:type="dxa"/>
            <w:tcBorders>
              <w:top w:val="dotted" w:color="auto" w:sz="4" w:space="0"/>
              <w:left w:val="dotted" w:color="auto" w:sz="4" w:space="0"/>
              <w:bottom w:val="dotted" w:color="auto" w:sz="4" w:space="0"/>
            </w:tcBorders>
            <w:vAlign w:val="center"/>
          </w:tcPr>
          <w:p w14:paraId="198FF6A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3,935.26</w:t>
            </w:r>
          </w:p>
        </w:tc>
      </w:tr>
      <w:tr w14:paraId="7180C8B6">
        <w:tblPrEx>
          <w:tblCellMar>
            <w:top w:w="0" w:type="dxa"/>
            <w:left w:w="108" w:type="dxa"/>
            <w:bottom w:w="0" w:type="dxa"/>
            <w:right w:w="108" w:type="dxa"/>
          </w:tblCellMar>
        </w:tblPrEx>
        <w:trPr>
          <w:trHeight w:val="454" w:hRule="exact"/>
          <w:jc w:val="center"/>
        </w:trPr>
        <w:tc>
          <w:tcPr>
            <w:tcW w:w="3567" w:type="dxa"/>
            <w:tcBorders>
              <w:top w:val="dotted" w:color="auto" w:sz="4" w:space="0"/>
              <w:bottom w:val="single" w:color="auto" w:sz="12" w:space="0"/>
              <w:right w:val="dotted" w:color="auto" w:sz="4" w:space="0"/>
            </w:tcBorders>
            <w:vAlign w:val="center"/>
          </w:tcPr>
          <w:p w14:paraId="75A0240E">
            <w:pPr>
              <w:keepNext w:val="0"/>
              <w:keepLines w:val="0"/>
              <w:widowControl/>
              <w:suppressLineNumbers w:val="0"/>
              <w:spacing w:before="0" w:beforeAutospacing="0" w:after="0" w:afterAutospacing="0"/>
              <w:ind w:left="0" w:right="0"/>
              <w:jc w:val="center"/>
              <w:textAlignment w:val="center"/>
              <w:rPr>
                <w:rFonts w:hint="default" w:ascii="宋体" w:hAnsi="宋体"/>
                <w:b/>
                <w:bCs/>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555" w:type="dxa"/>
            <w:tcBorders>
              <w:top w:val="dotted" w:color="auto" w:sz="4" w:space="0"/>
              <w:left w:val="dotted" w:color="auto" w:sz="4" w:space="0"/>
              <w:bottom w:val="single" w:color="auto" w:sz="12" w:space="0"/>
              <w:right w:val="dotted" w:color="auto" w:sz="4" w:space="0"/>
            </w:tcBorders>
            <w:vAlign w:val="center"/>
          </w:tcPr>
          <w:p w14:paraId="6E5C833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3,456,976.86</w:t>
            </w:r>
          </w:p>
        </w:tc>
        <w:tc>
          <w:tcPr>
            <w:tcW w:w="2370" w:type="dxa"/>
            <w:tcBorders>
              <w:top w:val="dotted" w:color="auto" w:sz="4" w:space="0"/>
              <w:left w:val="dotted" w:color="auto" w:sz="4" w:space="0"/>
              <w:bottom w:val="single" w:color="auto" w:sz="12" w:space="0"/>
            </w:tcBorders>
            <w:vAlign w:val="center"/>
          </w:tcPr>
          <w:p w14:paraId="24058314">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2,557,340.60</w:t>
            </w:r>
          </w:p>
        </w:tc>
      </w:tr>
    </w:tbl>
    <w:p w14:paraId="72269E07">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十二</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租赁负债</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141"/>
        <w:gridCol w:w="2580"/>
        <w:gridCol w:w="2801"/>
      </w:tblGrid>
      <w:tr w14:paraId="4167D2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blHeader/>
          <w:jc w:val="center"/>
        </w:trPr>
        <w:tc>
          <w:tcPr>
            <w:tcW w:w="3141" w:type="dxa"/>
            <w:tcBorders>
              <w:top w:val="single" w:color="auto" w:sz="12" w:space="0"/>
            </w:tcBorders>
            <w:vAlign w:val="bottom"/>
          </w:tcPr>
          <w:p w14:paraId="680DF775">
            <w:pPr>
              <w:keepNext w:val="0"/>
              <w:keepLines w:val="0"/>
              <w:widowControl/>
              <w:suppressLineNumbers w:val="0"/>
              <w:spacing w:before="0" w:beforeAutospacing="0" w:after="0" w:afterAutospacing="0"/>
              <w:ind w:left="0" w:right="0"/>
              <w:jc w:val="center"/>
              <w:textAlignment w:val="bottom"/>
              <w:rPr>
                <w:rFonts w:hint="default" w:ascii="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项目</w:t>
            </w:r>
          </w:p>
        </w:tc>
        <w:tc>
          <w:tcPr>
            <w:tcW w:w="2580" w:type="dxa"/>
            <w:tcBorders>
              <w:top w:val="single" w:color="auto" w:sz="12" w:space="0"/>
            </w:tcBorders>
            <w:vAlign w:val="bottom"/>
          </w:tcPr>
          <w:p w14:paraId="66746684">
            <w:pPr>
              <w:keepNext w:val="0"/>
              <w:keepLines w:val="0"/>
              <w:widowControl/>
              <w:suppressLineNumbers w:val="0"/>
              <w:spacing w:before="0" w:beforeAutospacing="0" w:after="0" w:afterAutospacing="0"/>
              <w:ind w:left="0" w:right="0"/>
              <w:jc w:val="center"/>
              <w:textAlignment w:val="bottom"/>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801" w:type="dxa"/>
            <w:tcBorders>
              <w:top w:val="single" w:color="auto" w:sz="12" w:space="0"/>
            </w:tcBorders>
            <w:vAlign w:val="bottom"/>
          </w:tcPr>
          <w:p w14:paraId="37C9882B">
            <w:pPr>
              <w:keepNext w:val="0"/>
              <w:keepLines w:val="0"/>
              <w:widowControl/>
              <w:suppressLineNumbers w:val="0"/>
              <w:spacing w:before="0" w:beforeAutospacing="0" w:after="0" w:afterAutospacing="0"/>
              <w:ind w:left="0" w:right="0"/>
              <w:jc w:val="center"/>
              <w:textAlignment w:val="bottom"/>
              <w:rPr>
                <w:rFonts w:hint="default" w:ascii="宋体" w:hAnsi="宋体" w:cs="宋体"/>
                <w:kern w:val="0"/>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16CE80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41" w:type="dxa"/>
            <w:tcBorders>
              <w:top w:val="dotted" w:color="auto" w:sz="4" w:space="0"/>
              <w:bottom w:val="dotted" w:color="auto" w:sz="4" w:space="0"/>
            </w:tcBorders>
            <w:vAlign w:val="bottom"/>
          </w:tcPr>
          <w:p w14:paraId="7BEC102F">
            <w:pPr>
              <w:keepNext w:val="0"/>
              <w:keepLines w:val="0"/>
              <w:widowControl/>
              <w:suppressLineNumbers w:val="0"/>
              <w:spacing w:before="0" w:beforeAutospacing="0" w:after="0" w:afterAutospacing="0"/>
              <w:ind w:left="0" w:right="0"/>
              <w:jc w:val="both"/>
              <w:textAlignment w:val="bottom"/>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房屋租赁付款额</w:t>
            </w:r>
          </w:p>
        </w:tc>
        <w:tc>
          <w:tcPr>
            <w:tcW w:w="2580" w:type="dxa"/>
            <w:tcBorders>
              <w:top w:val="dotted" w:color="auto" w:sz="4" w:space="0"/>
              <w:bottom w:val="dotted" w:color="auto" w:sz="4" w:space="0"/>
            </w:tcBorders>
            <w:vAlign w:val="bottom"/>
          </w:tcPr>
          <w:p w14:paraId="70B5EB1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2,386,148.26</w:t>
            </w:r>
          </w:p>
        </w:tc>
        <w:tc>
          <w:tcPr>
            <w:tcW w:w="2801" w:type="dxa"/>
            <w:tcBorders>
              <w:top w:val="dotted" w:color="auto" w:sz="4" w:space="0"/>
              <w:bottom w:val="dotted" w:color="auto" w:sz="4" w:space="0"/>
            </w:tcBorders>
            <w:vAlign w:val="bottom"/>
          </w:tcPr>
          <w:p w14:paraId="2909841C">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617,470.87</w:t>
            </w:r>
          </w:p>
        </w:tc>
      </w:tr>
      <w:tr w14:paraId="70B179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41" w:type="dxa"/>
            <w:tcBorders>
              <w:top w:val="dotted" w:color="auto" w:sz="4" w:space="0"/>
              <w:bottom w:val="dotted" w:color="auto" w:sz="4" w:space="0"/>
            </w:tcBorders>
            <w:vAlign w:val="bottom"/>
          </w:tcPr>
          <w:p w14:paraId="776F5DA0">
            <w:pPr>
              <w:keepNext w:val="0"/>
              <w:keepLines w:val="0"/>
              <w:widowControl/>
              <w:suppressLineNumbers w:val="0"/>
              <w:spacing w:before="0" w:beforeAutospacing="0" w:after="0" w:afterAutospacing="0"/>
              <w:ind w:left="0" w:right="0"/>
              <w:jc w:val="both"/>
              <w:textAlignment w:val="bottom"/>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减:未确认的融资费用</w:t>
            </w:r>
          </w:p>
        </w:tc>
        <w:tc>
          <w:tcPr>
            <w:tcW w:w="2580" w:type="dxa"/>
            <w:tcBorders>
              <w:top w:val="dotted" w:color="auto" w:sz="4" w:space="0"/>
              <w:bottom w:val="dotted" w:color="auto" w:sz="4" w:space="0"/>
            </w:tcBorders>
            <w:vAlign w:val="bottom"/>
          </w:tcPr>
          <w:p w14:paraId="414D3428">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49,790.27</w:t>
            </w:r>
          </w:p>
        </w:tc>
        <w:tc>
          <w:tcPr>
            <w:tcW w:w="2801" w:type="dxa"/>
            <w:tcBorders>
              <w:top w:val="dotted" w:color="auto" w:sz="4" w:space="0"/>
              <w:bottom w:val="dotted" w:color="auto" w:sz="4" w:space="0"/>
            </w:tcBorders>
            <w:vAlign w:val="bottom"/>
          </w:tcPr>
          <w:p w14:paraId="0BF74FBD">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31,856.77</w:t>
            </w:r>
          </w:p>
        </w:tc>
      </w:tr>
      <w:tr w14:paraId="11C4AE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141" w:type="dxa"/>
            <w:tcBorders>
              <w:top w:val="dotted" w:color="auto" w:sz="4" w:space="0"/>
              <w:bottom w:val="single" w:color="auto" w:sz="12" w:space="0"/>
            </w:tcBorders>
            <w:vAlign w:val="bottom"/>
          </w:tcPr>
          <w:p w14:paraId="47D34825">
            <w:pPr>
              <w:keepNext w:val="0"/>
              <w:keepLines w:val="0"/>
              <w:widowControl/>
              <w:suppressLineNumbers w:val="0"/>
              <w:spacing w:before="0" w:beforeAutospacing="0" w:after="0" w:afterAutospacing="0"/>
              <w:ind w:left="0" w:right="0"/>
              <w:jc w:val="center"/>
              <w:textAlignment w:val="bottom"/>
              <w:rPr>
                <w:rFonts w:hint="default" w:ascii="宋体" w:hAnsi="宋体" w:cs="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租赁负债净额</w:t>
            </w:r>
          </w:p>
        </w:tc>
        <w:tc>
          <w:tcPr>
            <w:tcW w:w="2580" w:type="dxa"/>
            <w:tcBorders>
              <w:top w:val="dotted" w:color="auto" w:sz="4" w:space="0"/>
              <w:bottom w:val="single" w:color="auto" w:sz="12" w:space="0"/>
            </w:tcBorders>
            <w:vAlign w:val="bottom"/>
          </w:tcPr>
          <w:p w14:paraId="1BE01E2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2,336,357.99</w:t>
            </w:r>
          </w:p>
        </w:tc>
        <w:tc>
          <w:tcPr>
            <w:tcW w:w="2801" w:type="dxa"/>
            <w:tcBorders>
              <w:top w:val="dotted" w:color="auto" w:sz="4" w:space="0"/>
              <w:bottom w:val="single" w:color="auto" w:sz="12" w:space="0"/>
            </w:tcBorders>
            <w:vAlign w:val="bottom"/>
          </w:tcPr>
          <w:p w14:paraId="0DB3B68A">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585,614.10</w:t>
            </w:r>
          </w:p>
        </w:tc>
      </w:tr>
    </w:tbl>
    <w:p w14:paraId="5036B670">
      <w:pPr>
        <w:pStyle w:val="3"/>
        <w:keepNext w:val="0"/>
        <w:keepLines w:val="0"/>
        <w:numPr>
          <w:ilvl w:val="0"/>
          <w:numId w:val="4"/>
        </w:numPr>
        <w:tabs>
          <w:tab w:val="left" w:pos="851"/>
        </w:tabs>
        <w:spacing w:before="0" w:after="0" w:line="480" w:lineRule="exact"/>
        <w:ind w:leftChars="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其他负债</w:t>
      </w:r>
    </w:p>
    <w:p w14:paraId="0570AB53">
      <w:pPr>
        <w:numPr>
          <w:ilvl w:val="0"/>
          <w:numId w:val="0"/>
        </w:numPr>
        <w:rPr>
          <w:highlight w:val="none"/>
        </w:rPr>
      </w:pP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14"/>
        <w:gridCol w:w="2678"/>
        <w:gridCol w:w="2630"/>
      </w:tblGrid>
      <w:tr w14:paraId="45945D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8" w:hRule="atLeast"/>
          <w:tblHeader/>
          <w:jc w:val="center"/>
        </w:trPr>
        <w:tc>
          <w:tcPr>
            <w:tcW w:w="3214" w:type="dxa"/>
            <w:tcBorders>
              <w:top w:val="single" w:color="auto" w:sz="12" w:space="0"/>
            </w:tcBorders>
            <w:vAlign w:val="bottom"/>
          </w:tcPr>
          <w:p w14:paraId="53F271AA">
            <w:pPr>
              <w:keepNext w:val="0"/>
              <w:keepLines w:val="0"/>
              <w:widowControl/>
              <w:suppressLineNumbers w:val="0"/>
              <w:spacing w:before="0" w:beforeAutospacing="0" w:after="0" w:afterAutospacing="0"/>
              <w:ind w:left="0" w:right="0"/>
              <w:jc w:val="center"/>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78" w:type="dxa"/>
            <w:tcBorders>
              <w:top w:val="single" w:color="auto" w:sz="12" w:space="0"/>
            </w:tcBorders>
            <w:vAlign w:val="bottom"/>
          </w:tcPr>
          <w:p w14:paraId="658E113E">
            <w:pPr>
              <w:keepNext w:val="0"/>
              <w:keepLines w:val="0"/>
              <w:widowControl/>
              <w:suppressLineNumbers w:val="0"/>
              <w:spacing w:before="0" w:beforeAutospacing="0" w:after="0" w:afterAutospacing="0"/>
              <w:ind w:left="0" w:right="0"/>
              <w:jc w:val="center"/>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630" w:type="dxa"/>
            <w:tcBorders>
              <w:top w:val="single" w:color="auto" w:sz="12" w:space="0"/>
            </w:tcBorders>
            <w:vAlign w:val="bottom"/>
          </w:tcPr>
          <w:p w14:paraId="072C06CD">
            <w:pPr>
              <w:keepNext w:val="0"/>
              <w:keepLines w:val="0"/>
              <w:widowControl/>
              <w:suppressLineNumbers w:val="0"/>
              <w:spacing w:before="0" w:beforeAutospacing="0" w:after="0" w:afterAutospacing="0"/>
              <w:ind w:left="0" w:right="0"/>
              <w:jc w:val="center"/>
              <w:textAlignment w:val="bottom"/>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634BFE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1" w:hRule="atLeast"/>
          <w:jc w:val="center"/>
        </w:trPr>
        <w:tc>
          <w:tcPr>
            <w:tcW w:w="3214" w:type="dxa"/>
            <w:vAlign w:val="bottom"/>
          </w:tcPr>
          <w:p w14:paraId="6CB9BA24">
            <w:pPr>
              <w:keepNext w:val="0"/>
              <w:keepLines w:val="0"/>
              <w:widowControl/>
              <w:suppressLineNumbers w:val="0"/>
              <w:spacing w:before="0" w:beforeAutospacing="0" w:after="0" w:afterAutospacing="0"/>
              <w:ind w:left="0" w:right="0"/>
              <w:jc w:val="both"/>
              <w:textAlignment w:val="bottom"/>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其他应付款</w:t>
            </w:r>
          </w:p>
        </w:tc>
        <w:tc>
          <w:tcPr>
            <w:tcW w:w="2678" w:type="dxa"/>
            <w:vAlign w:val="bottom"/>
          </w:tcPr>
          <w:p w14:paraId="6B317C54">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178,660.79</w:t>
            </w:r>
          </w:p>
        </w:tc>
        <w:tc>
          <w:tcPr>
            <w:tcW w:w="2630" w:type="dxa"/>
            <w:vAlign w:val="bottom"/>
          </w:tcPr>
          <w:p w14:paraId="3D30E8C2">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198,121.99</w:t>
            </w:r>
          </w:p>
        </w:tc>
      </w:tr>
      <w:tr w14:paraId="51D83D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1" w:hRule="atLeast"/>
          <w:jc w:val="center"/>
        </w:trPr>
        <w:tc>
          <w:tcPr>
            <w:tcW w:w="3214" w:type="dxa"/>
            <w:vAlign w:val="bottom"/>
          </w:tcPr>
          <w:p w14:paraId="7898EE7D">
            <w:pPr>
              <w:keepNext w:val="0"/>
              <w:keepLines w:val="0"/>
              <w:widowControl/>
              <w:suppressLineNumbers w:val="0"/>
              <w:spacing w:before="0" w:beforeAutospacing="0" w:after="0" w:afterAutospacing="0"/>
              <w:ind w:left="0" w:right="0"/>
              <w:jc w:val="both"/>
              <w:textAlignment w:val="bottom"/>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应付股利</w:t>
            </w:r>
          </w:p>
        </w:tc>
        <w:tc>
          <w:tcPr>
            <w:tcW w:w="2678" w:type="dxa"/>
            <w:vAlign w:val="bottom"/>
          </w:tcPr>
          <w:p w14:paraId="10F3D0D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301,600.00</w:t>
            </w:r>
          </w:p>
        </w:tc>
        <w:tc>
          <w:tcPr>
            <w:tcW w:w="2630" w:type="dxa"/>
            <w:vAlign w:val="bottom"/>
          </w:tcPr>
          <w:p w14:paraId="08105A19">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301,600.00</w:t>
            </w:r>
          </w:p>
        </w:tc>
      </w:tr>
      <w:tr w14:paraId="61DE0C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1" w:hRule="atLeast"/>
          <w:jc w:val="center"/>
        </w:trPr>
        <w:tc>
          <w:tcPr>
            <w:tcW w:w="3214" w:type="dxa"/>
            <w:vAlign w:val="bottom"/>
          </w:tcPr>
          <w:p w14:paraId="2094B218">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其他流动负债</w:t>
            </w:r>
          </w:p>
        </w:tc>
        <w:tc>
          <w:tcPr>
            <w:tcW w:w="2678" w:type="dxa"/>
            <w:vAlign w:val="bottom"/>
          </w:tcPr>
          <w:p w14:paraId="6038150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4,321,000.00</w:t>
            </w:r>
          </w:p>
        </w:tc>
        <w:tc>
          <w:tcPr>
            <w:tcW w:w="2630" w:type="dxa"/>
            <w:vAlign w:val="bottom"/>
          </w:tcPr>
          <w:p w14:paraId="5756AFD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22,402.44</w:t>
            </w:r>
          </w:p>
        </w:tc>
      </w:tr>
      <w:tr w14:paraId="7CA9EF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1" w:hRule="atLeast"/>
          <w:jc w:val="center"/>
        </w:trPr>
        <w:tc>
          <w:tcPr>
            <w:tcW w:w="3214" w:type="dxa"/>
            <w:tcBorders>
              <w:bottom w:val="single" w:color="auto" w:sz="12" w:space="0"/>
            </w:tcBorders>
            <w:vAlign w:val="bottom"/>
          </w:tcPr>
          <w:p w14:paraId="774D52BD">
            <w:pPr>
              <w:keepNext w:val="0"/>
              <w:keepLines w:val="0"/>
              <w:widowControl/>
              <w:suppressLineNumbers w:val="0"/>
              <w:spacing w:before="0" w:beforeAutospacing="0" w:after="0" w:afterAutospacing="0"/>
              <w:ind w:left="0" w:right="0"/>
              <w:jc w:val="center"/>
              <w:textAlignment w:val="bottom"/>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678" w:type="dxa"/>
            <w:tcBorders>
              <w:bottom w:val="single" w:color="auto" w:sz="12" w:space="0"/>
            </w:tcBorders>
            <w:vAlign w:val="bottom"/>
          </w:tcPr>
          <w:p w14:paraId="03A4AC61">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4,801,260.79</w:t>
            </w:r>
          </w:p>
        </w:tc>
        <w:tc>
          <w:tcPr>
            <w:tcW w:w="2630" w:type="dxa"/>
            <w:tcBorders>
              <w:bottom w:val="single" w:color="auto" w:sz="12" w:space="0"/>
            </w:tcBorders>
            <w:vAlign w:val="bottom"/>
          </w:tcPr>
          <w:p w14:paraId="6766431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522,124.43</w:t>
            </w:r>
          </w:p>
        </w:tc>
      </w:tr>
    </w:tbl>
    <w:p w14:paraId="049E5FB0">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十四</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股本</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09"/>
        <w:gridCol w:w="1581"/>
        <w:gridCol w:w="662"/>
        <w:gridCol w:w="667"/>
        <w:gridCol w:w="802"/>
        <w:gridCol w:w="1510"/>
        <w:gridCol w:w="570"/>
        <w:gridCol w:w="1621"/>
      </w:tblGrid>
      <w:tr w14:paraId="743E6E9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276" w:hRule="atLeast"/>
          <w:jc w:val="center"/>
        </w:trPr>
        <w:tc>
          <w:tcPr>
            <w:tcW w:w="650" w:type="pct"/>
            <w:vMerge w:val="restart"/>
            <w:vAlign w:val="center"/>
          </w:tcPr>
          <w:p w14:paraId="6B489C23">
            <w:pPr>
              <w:keepNext w:val="0"/>
              <w:keepLines w:val="0"/>
              <w:suppressLineNumbers w:val="0"/>
              <w:spacing w:before="0" w:beforeAutospacing="0" w:after="0" w:afterAutospacing="0" w:line="480" w:lineRule="exact"/>
              <w:ind w:left="0" w:right="0"/>
              <w:jc w:val="center"/>
              <w:rPr>
                <w:rFonts w:hint="default" w:ascii="宋体" w:hAnsi="宋体"/>
                <w:highlight w:val="none"/>
              </w:rPr>
            </w:pPr>
            <w:r>
              <w:rPr>
                <w:rFonts w:hint="eastAsia" w:ascii="宋体" w:hAnsi="宋体"/>
                <w:highlight w:val="none"/>
              </w:rPr>
              <w:t>项目</w:t>
            </w:r>
          </w:p>
        </w:tc>
        <w:tc>
          <w:tcPr>
            <w:tcW w:w="927" w:type="pct"/>
            <w:vMerge w:val="restart"/>
            <w:vAlign w:val="center"/>
          </w:tcPr>
          <w:p w14:paraId="64B3141B">
            <w:pPr>
              <w:keepNext w:val="0"/>
              <w:keepLines w:val="0"/>
              <w:suppressLineNumbers w:val="0"/>
              <w:spacing w:before="0" w:beforeAutospacing="0" w:after="0" w:afterAutospacing="0" w:line="480" w:lineRule="exact"/>
              <w:ind w:left="0" w:right="0"/>
              <w:jc w:val="center"/>
              <w:rPr>
                <w:rFonts w:hint="default" w:ascii="宋体" w:hAnsi="宋体"/>
                <w:highlight w:val="none"/>
              </w:rPr>
            </w:pPr>
            <w:r>
              <w:rPr>
                <w:rFonts w:hint="eastAsia" w:ascii="宋体" w:hAnsi="宋体"/>
                <w:highlight w:val="none"/>
              </w:rPr>
              <w:t>上年年末余额</w:t>
            </w:r>
          </w:p>
        </w:tc>
        <w:tc>
          <w:tcPr>
            <w:tcW w:w="2470" w:type="pct"/>
            <w:gridSpan w:val="5"/>
            <w:vAlign w:val="center"/>
          </w:tcPr>
          <w:p w14:paraId="20BD1A7F">
            <w:pPr>
              <w:keepNext w:val="0"/>
              <w:keepLines w:val="0"/>
              <w:suppressLineNumbers w:val="0"/>
              <w:spacing w:before="0" w:beforeAutospacing="0" w:after="0" w:afterAutospacing="0" w:line="480" w:lineRule="exact"/>
              <w:ind w:left="0" w:right="0" w:firstLine="420" w:firstLineChars="200"/>
              <w:jc w:val="center"/>
              <w:rPr>
                <w:rFonts w:hint="default" w:ascii="宋体" w:hAnsi="宋体"/>
                <w:highlight w:val="none"/>
              </w:rPr>
            </w:pPr>
            <w:r>
              <w:rPr>
                <w:rFonts w:hint="eastAsia" w:ascii="宋体" w:hAnsi="宋体"/>
                <w:highlight w:val="none"/>
              </w:rPr>
              <w:t>本次变动增减（</w:t>
            </w:r>
            <w:r>
              <w:rPr>
                <w:rFonts w:hint="default" w:ascii="宋体" w:hAnsi="宋体"/>
                <w:highlight w:val="none"/>
              </w:rPr>
              <w:t>+</w:t>
            </w:r>
            <w:r>
              <w:rPr>
                <w:rFonts w:hint="eastAsia" w:ascii="宋体" w:hAnsi="宋体"/>
                <w:highlight w:val="none"/>
              </w:rPr>
              <w:t>、-）</w:t>
            </w:r>
          </w:p>
        </w:tc>
        <w:tc>
          <w:tcPr>
            <w:tcW w:w="951" w:type="pct"/>
            <w:vMerge w:val="restart"/>
            <w:vAlign w:val="center"/>
          </w:tcPr>
          <w:p w14:paraId="094B54B4">
            <w:pPr>
              <w:keepNext w:val="0"/>
              <w:keepLines w:val="0"/>
              <w:suppressLineNumbers w:val="0"/>
              <w:spacing w:before="0" w:beforeAutospacing="0" w:after="0" w:afterAutospacing="0" w:line="480" w:lineRule="exact"/>
              <w:ind w:left="0" w:right="0"/>
              <w:jc w:val="center"/>
              <w:rPr>
                <w:rFonts w:hint="default" w:ascii="宋体" w:hAnsi="宋体"/>
                <w:highlight w:val="none"/>
              </w:rPr>
            </w:pPr>
            <w:r>
              <w:rPr>
                <w:rFonts w:hint="eastAsia" w:ascii="宋体" w:hAnsi="宋体"/>
                <w:highlight w:val="none"/>
              </w:rPr>
              <w:t>期末余额</w:t>
            </w:r>
          </w:p>
        </w:tc>
      </w:tr>
      <w:tr w14:paraId="3D857B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19" w:hRule="atLeast"/>
          <w:jc w:val="center"/>
        </w:trPr>
        <w:tc>
          <w:tcPr>
            <w:tcW w:w="650" w:type="pct"/>
            <w:vMerge w:val="continue"/>
          </w:tcPr>
          <w:p w14:paraId="6A1D7BCC">
            <w:pPr>
              <w:keepNext w:val="0"/>
              <w:keepLines w:val="0"/>
              <w:suppressLineNumbers w:val="0"/>
              <w:spacing w:before="0" w:beforeAutospacing="0" w:after="0" w:afterAutospacing="0" w:line="480" w:lineRule="exact"/>
              <w:ind w:left="0" w:right="0" w:firstLine="360" w:firstLineChars="200"/>
              <w:rPr>
                <w:rFonts w:hint="default" w:ascii="宋体" w:hAnsi="宋体"/>
                <w:sz w:val="18"/>
                <w:szCs w:val="18"/>
                <w:highlight w:val="none"/>
              </w:rPr>
            </w:pPr>
          </w:p>
        </w:tc>
        <w:tc>
          <w:tcPr>
            <w:tcW w:w="927" w:type="pct"/>
            <w:vMerge w:val="continue"/>
          </w:tcPr>
          <w:p w14:paraId="7C1E68DF">
            <w:pPr>
              <w:keepNext w:val="0"/>
              <w:keepLines w:val="0"/>
              <w:suppressLineNumbers w:val="0"/>
              <w:spacing w:before="0" w:beforeAutospacing="0" w:after="0" w:afterAutospacing="0" w:line="480" w:lineRule="exact"/>
              <w:ind w:left="-250" w:leftChars="-119" w:right="0" w:firstLine="360" w:firstLineChars="200"/>
              <w:rPr>
                <w:rFonts w:hint="default" w:ascii="宋体" w:hAnsi="宋体"/>
                <w:sz w:val="18"/>
                <w:szCs w:val="18"/>
                <w:highlight w:val="none"/>
              </w:rPr>
            </w:pPr>
          </w:p>
        </w:tc>
        <w:tc>
          <w:tcPr>
            <w:tcW w:w="388" w:type="pct"/>
            <w:vAlign w:val="center"/>
          </w:tcPr>
          <w:p w14:paraId="2E78DCBB">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发行新股</w:t>
            </w:r>
          </w:p>
        </w:tc>
        <w:tc>
          <w:tcPr>
            <w:tcW w:w="391" w:type="pct"/>
            <w:vAlign w:val="center"/>
          </w:tcPr>
          <w:p w14:paraId="345165DC">
            <w:pPr>
              <w:keepNext w:val="0"/>
              <w:keepLines w:val="0"/>
              <w:suppressLineNumbers w:val="0"/>
              <w:spacing w:before="0" w:beforeAutospacing="0" w:after="0" w:afterAutospacing="0" w:line="480" w:lineRule="exact"/>
              <w:ind w:left="0" w:right="0"/>
              <w:rPr>
                <w:rFonts w:hint="default" w:ascii="宋体" w:hAnsi="宋体"/>
                <w:highlight w:val="none"/>
              </w:rPr>
            </w:pPr>
            <w:r>
              <w:rPr>
                <w:rFonts w:hint="eastAsia" w:ascii="宋体" w:hAnsi="宋体"/>
                <w:highlight w:val="none"/>
              </w:rPr>
              <w:t>送股</w:t>
            </w:r>
          </w:p>
        </w:tc>
        <w:tc>
          <w:tcPr>
            <w:tcW w:w="470" w:type="pct"/>
            <w:vAlign w:val="center"/>
          </w:tcPr>
          <w:p w14:paraId="5FBE3B5F">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公积金</w:t>
            </w:r>
          </w:p>
          <w:p w14:paraId="6CEB12A5">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转股</w:t>
            </w:r>
          </w:p>
        </w:tc>
        <w:tc>
          <w:tcPr>
            <w:tcW w:w="885" w:type="pct"/>
            <w:vAlign w:val="center"/>
          </w:tcPr>
          <w:p w14:paraId="08E086CD">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股金红利转股</w:t>
            </w:r>
          </w:p>
        </w:tc>
        <w:tc>
          <w:tcPr>
            <w:tcW w:w="334" w:type="pct"/>
            <w:vAlign w:val="center"/>
          </w:tcPr>
          <w:p w14:paraId="58DD0E3E">
            <w:pPr>
              <w:keepNext w:val="0"/>
              <w:keepLines w:val="0"/>
              <w:suppressLineNumbers w:val="0"/>
              <w:spacing w:before="0" w:beforeAutospacing="0" w:after="0" w:afterAutospacing="0" w:line="480" w:lineRule="exact"/>
              <w:ind w:left="0" w:right="0"/>
              <w:jc w:val="center"/>
              <w:rPr>
                <w:rFonts w:hint="default" w:ascii="宋体" w:hAnsi="宋体"/>
                <w:highlight w:val="none"/>
              </w:rPr>
            </w:pPr>
            <w:r>
              <w:rPr>
                <w:rFonts w:hint="eastAsia" w:ascii="宋体" w:hAnsi="宋体"/>
                <w:highlight w:val="none"/>
              </w:rPr>
              <w:t>小计</w:t>
            </w:r>
          </w:p>
        </w:tc>
        <w:tc>
          <w:tcPr>
            <w:tcW w:w="951" w:type="pct"/>
            <w:vMerge w:val="continue"/>
          </w:tcPr>
          <w:p w14:paraId="1D3C6890">
            <w:pPr>
              <w:keepNext w:val="0"/>
              <w:keepLines w:val="0"/>
              <w:suppressLineNumbers w:val="0"/>
              <w:spacing w:before="0" w:beforeAutospacing="0" w:after="0" w:afterAutospacing="0" w:line="480" w:lineRule="exact"/>
              <w:ind w:left="0" w:right="0" w:firstLine="360" w:firstLineChars="200"/>
              <w:rPr>
                <w:rFonts w:hint="default" w:ascii="宋体" w:hAnsi="宋体"/>
                <w:sz w:val="18"/>
                <w:szCs w:val="18"/>
                <w:highlight w:val="none"/>
              </w:rPr>
            </w:pPr>
          </w:p>
        </w:tc>
      </w:tr>
      <w:tr w14:paraId="7EB960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75" w:hRule="atLeast"/>
          <w:jc w:val="center"/>
        </w:trPr>
        <w:tc>
          <w:tcPr>
            <w:tcW w:w="650" w:type="pct"/>
            <w:vAlign w:val="center"/>
          </w:tcPr>
          <w:p w14:paraId="043D84D8">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highlight w:val="none"/>
              </w:rPr>
              <w:t>股份总数</w:t>
            </w:r>
          </w:p>
        </w:tc>
        <w:tc>
          <w:tcPr>
            <w:tcW w:w="1581" w:type="dxa"/>
            <w:vAlign w:val="center"/>
          </w:tcPr>
          <w:p w14:paraId="4EF56FF2">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54,600,000.00</w:t>
            </w:r>
          </w:p>
        </w:tc>
        <w:tc>
          <w:tcPr>
            <w:tcW w:w="662" w:type="dxa"/>
            <w:vAlign w:val="center"/>
          </w:tcPr>
          <w:p w14:paraId="32E1F90A">
            <w:pPr>
              <w:keepNext w:val="0"/>
              <w:keepLines w:val="0"/>
              <w:suppressLineNumbers w:val="0"/>
              <w:spacing w:before="0" w:beforeAutospacing="0" w:after="0" w:afterAutospacing="0"/>
              <w:ind w:left="0" w:right="0"/>
              <w:jc w:val="right"/>
              <w:rPr>
                <w:rFonts w:hint="default" w:ascii="宋体" w:hAnsi="宋体"/>
                <w:highlight w:val="none"/>
              </w:rPr>
            </w:pPr>
          </w:p>
        </w:tc>
        <w:tc>
          <w:tcPr>
            <w:tcW w:w="667" w:type="dxa"/>
            <w:vAlign w:val="center"/>
          </w:tcPr>
          <w:p w14:paraId="20903E8B">
            <w:pPr>
              <w:keepNext w:val="0"/>
              <w:keepLines w:val="0"/>
              <w:suppressLineNumbers w:val="0"/>
              <w:spacing w:before="0" w:beforeAutospacing="0" w:after="0" w:afterAutospacing="0"/>
              <w:ind w:left="0" w:right="0"/>
              <w:jc w:val="right"/>
              <w:rPr>
                <w:rFonts w:hint="default" w:ascii="宋体" w:hAnsi="宋体"/>
                <w:highlight w:val="none"/>
              </w:rPr>
            </w:pPr>
          </w:p>
        </w:tc>
        <w:tc>
          <w:tcPr>
            <w:tcW w:w="802" w:type="dxa"/>
            <w:vAlign w:val="center"/>
          </w:tcPr>
          <w:p w14:paraId="1999A4E0">
            <w:pPr>
              <w:keepNext w:val="0"/>
              <w:keepLines w:val="0"/>
              <w:suppressLineNumbers w:val="0"/>
              <w:spacing w:before="0" w:beforeAutospacing="0" w:after="0" w:afterAutospacing="0"/>
              <w:ind w:left="0" w:right="0"/>
              <w:jc w:val="right"/>
              <w:rPr>
                <w:rFonts w:hint="default" w:ascii="宋体" w:hAnsi="宋体"/>
                <w:highlight w:val="none"/>
              </w:rPr>
            </w:pPr>
          </w:p>
        </w:tc>
        <w:tc>
          <w:tcPr>
            <w:tcW w:w="1510" w:type="dxa"/>
            <w:vAlign w:val="center"/>
          </w:tcPr>
          <w:p w14:paraId="1003AEED">
            <w:pPr>
              <w:keepNext w:val="0"/>
              <w:keepLines w:val="0"/>
              <w:suppressLineNumbers w:val="0"/>
              <w:spacing w:before="0" w:beforeAutospacing="0" w:after="0" w:afterAutospacing="0"/>
              <w:ind w:left="0" w:right="0"/>
              <w:jc w:val="right"/>
              <w:rPr>
                <w:rFonts w:hint="default" w:ascii="宋体" w:hAnsi="宋体" w:eastAsia="宋体"/>
                <w:highlight w:val="none"/>
                <w:lang w:val="en-US" w:eastAsia="zh-CN"/>
              </w:rPr>
            </w:pPr>
          </w:p>
        </w:tc>
        <w:tc>
          <w:tcPr>
            <w:tcW w:w="570" w:type="dxa"/>
            <w:vAlign w:val="center"/>
          </w:tcPr>
          <w:p w14:paraId="3626426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kern w:val="0"/>
                <w:sz w:val="21"/>
                <w:szCs w:val="21"/>
                <w:highlight w:val="none"/>
                <w:u w:val="none"/>
                <w:lang w:val="en-US" w:eastAsia="zh-CN" w:bidi="ar"/>
              </w:rPr>
            </w:pPr>
          </w:p>
        </w:tc>
        <w:tc>
          <w:tcPr>
            <w:tcW w:w="1621" w:type="dxa"/>
            <w:vAlign w:val="center"/>
          </w:tcPr>
          <w:p w14:paraId="254D4D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54,600,000.00</w:t>
            </w:r>
          </w:p>
        </w:tc>
      </w:tr>
    </w:tbl>
    <w:p w14:paraId="116494F6">
      <w:pPr>
        <w:pStyle w:val="3"/>
        <w:keepNext w:val="0"/>
        <w:keepLines w:val="0"/>
        <w:numPr>
          <w:ilvl w:val="0"/>
          <w:numId w:val="0"/>
        </w:numPr>
        <w:tabs>
          <w:tab w:val="left" w:pos="851"/>
        </w:tabs>
        <w:spacing w:before="0" w:after="0" w:line="480" w:lineRule="exact"/>
        <w:ind w:leftChars="0"/>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十五</w:t>
      </w:r>
      <w:r>
        <w:rPr>
          <w:rFonts w:hint="eastAsia" w:ascii="宋体" w:hAnsi="宋体" w:eastAsia="宋体" w:cs="宋体"/>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Cs w:val="0"/>
          <w:color w:val="000000" w:themeColor="text1"/>
          <w:sz w:val="24"/>
          <w:szCs w:val="24"/>
          <w:highlight w:val="none"/>
          <w14:textFill>
            <w14:solidFill>
              <w14:schemeClr w14:val="tx1"/>
            </w14:solidFill>
          </w14:textFill>
        </w:rPr>
        <w:t>盈余公积</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29"/>
        <w:gridCol w:w="1476"/>
        <w:gridCol w:w="1476"/>
        <w:gridCol w:w="1365"/>
        <w:gridCol w:w="1476"/>
      </w:tblGrid>
      <w:tr w14:paraId="25972E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10" w:hRule="atLeast"/>
          <w:jc w:val="center"/>
        </w:trPr>
        <w:tc>
          <w:tcPr>
            <w:tcW w:w="2729" w:type="dxa"/>
            <w:tcBorders>
              <w:top w:val="single" w:color="auto" w:sz="12" w:space="0"/>
              <w:bottom w:val="dotted" w:color="auto" w:sz="4" w:space="0"/>
              <w:right w:val="dotted" w:color="auto" w:sz="4" w:space="0"/>
            </w:tcBorders>
            <w:vAlign w:val="center"/>
          </w:tcPr>
          <w:p w14:paraId="18946F99">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  目</w:t>
            </w:r>
          </w:p>
        </w:tc>
        <w:tc>
          <w:tcPr>
            <w:tcW w:w="1476" w:type="dxa"/>
            <w:tcBorders>
              <w:top w:val="single" w:color="auto" w:sz="12" w:space="0"/>
              <w:left w:val="dotted" w:color="auto" w:sz="4" w:space="0"/>
              <w:bottom w:val="dotted" w:color="auto" w:sz="4" w:space="0"/>
              <w:right w:val="dotted" w:color="auto" w:sz="4" w:space="0"/>
            </w:tcBorders>
            <w:vAlign w:val="center"/>
          </w:tcPr>
          <w:p w14:paraId="22D44EDC">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c>
          <w:tcPr>
            <w:tcW w:w="1476" w:type="dxa"/>
            <w:tcBorders>
              <w:top w:val="single" w:color="auto" w:sz="12" w:space="0"/>
              <w:left w:val="dotted" w:color="auto" w:sz="4" w:space="0"/>
              <w:bottom w:val="dotted" w:color="auto" w:sz="4" w:space="0"/>
              <w:right w:val="dotted" w:color="auto" w:sz="4" w:space="0"/>
            </w:tcBorders>
            <w:vAlign w:val="center"/>
          </w:tcPr>
          <w:p w14:paraId="7FD2380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本期增加</w:t>
            </w:r>
          </w:p>
        </w:tc>
        <w:tc>
          <w:tcPr>
            <w:tcW w:w="1365" w:type="dxa"/>
            <w:tcBorders>
              <w:top w:val="single" w:color="auto" w:sz="12" w:space="0"/>
              <w:left w:val="dotted" w:color="auto" w:sz="4" w:space="0"/>
              <w:bottom w:val="dotted" w:color="auto" w:sz="4" w:space="0"/>
              <w:right w:val="dotted" w:color="auto" w:sz="4" w:space="0"/>
            </w:tcBorders>
            <w:vAlign w:val="center"/>
          </w:tcPr>
          <w:p w14:paraId="2D1A8AB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本期减少</w:t>
            </w:r>
          </w:p>
        </w:tc>
        <w:tc>
          <w:tcPr>
            <w:tcW w:w="1476" w:type="dxa"/>
            <w:tcBorders>
              <w:top w:val="single" w:color="auto" w:sz="12" w:space="0"/>
              <w:left w:val="dotted" w:color="auto" w:sz="4" w:space="0"/>
              <w:bottom w:val="dotted" w:color="auto" w:sz="4" w:space="0"/>
            </w:tcBorders>
            <w:vAlign w:val="center"/>
          </w:tcPr>
          <w:p w14:paraId="7171EF38">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r>
      <w:tr w14:paraId="55E182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10" w:hRule="atLeast"/>
          <w:jc w:val="center"/>
        </w:trPr>
        <w:tc>
          <w:tcPr>
            <w:tcW w:w="2729" w:type="dxa"/>
            <w:tcBorders>
              <w:top w:val="dotted" w:color="auto" w:sz="4" w:space="0"/>
              <w:bottom w:val="dotted" w:color="auto" w:sz="4" w:space="0"/>
              <w:right w:val="dotted" w:color="auto" w:sz="4" w:space="0"/>
            </w:tcBorders>
            <w:vAlign w:val="center"/>
          </w:tcPr>
          <w:p w14:paraId="52B626DE">
            <w:pPr>
              <w:keepNext w:val="0"/>
              <w:keepLines w:val="0"/>
              <w:widowControl/>
              <w:suppressLineNumbers w:val="0"/>
              <w:spacing w:before="0" w:beforeAutospacing="0" w:after="0" w:afterAutospacing="0"/>
              <w:ind w:left="0" w:right="0"/>
              <w:jc w:val="both"/>
              <w:textAlignment w:val="center"/>
              <w:rPr>
                <w:rFonts w:hint="default"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法定盈余公积</w:t>
            </w:r>
          </w:p>
        </w:tc>
        <w:tc>
          <w:tcPr>
            <w:tcW w:w="1476" w:type="dxa"/>
            <w:tcBorders>
              <w:top w:val="dotted" w:color="auto" w:sz="4" w:space="0"/>
              <w:left w:val="dotted" w:color="auto" w:sz="4" w:space="0"/>
              <w:bottom w:val="dotted" w:color="auto" w:sz="4" w:space="0"/>
              <w:right w:val="dotted" w:color="auto" w:sz="4" w:space="0"/>
            </w:tcBorders>
            <w:vAlign w:val="center"/>
          </w:tcPr>
          <w:p w14:paraId="17EE55A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7,075,190.69</w:t>
            </w:r>
          </w:p>
        </w:tc>
        <w:tc>
          <w:tcPr>
            <w:tcW w:w="1476" w:type="dxa"/>
            <w:tcBorders>
              <w:top w:val="dotted" w:color="auto" w:sz="4" w:space="0"/>
              <w:left w:val="dotted" w:color="auto" w:sz="4" w:space="0"/>
              <w:bottom w:val="dotted" w:color="auto" w:sz="4" w:space="0"/>
              <w:right w:val="dotted" w:color="auto" w:sz="4" w:space="0"/>
            </w:tcBorders>
            <w:vAlign w:val="center"/>
          </w:tcPr>
          <w:p w14:paraId="6DC182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954,077.19</w:t>
            </w:r>
          </w:p>
        </w:tc>
        <w:tc>
          <w:tcPr>
            <w:tcW w:w="1365" w:type="dxa"/>
            <w:tcBorders>
              <w:top w:val="dotted" w:color="auto" w:sz="4" w:space="0"/>
              <w:left w:val="dotted" w:color="auto" w:sz="4" w:space="0"/>
              <w:bottom w:val="dotted" w:color="auto" w:sz="4" w:space="0"/>
              <w:right w:val="dotted" w:color="auto" w:sz="4" w:space="0"/>
            </w:tcBorders>
            <w:vAlign w:val="center"/>
          </w:tcPr>
          <w:p w14:paraId="7333983F">
            <w:pPr>
              <w:keepNext w:val="0"/>
              <w:keepLines w:val="0"/>
              <w:suppressLineNumbers w:val="0"/>
              <w:spacing w:before="0" w:beforeAutospacing="0" w:after="0" w:afterAutospacing="0"/>
              <w:ind w:left="0" w:right="0"/>
              <w:jc w:val="right"/>
              <w:rPr>
                <w:rFonts w:hint="default" w:ascii="宋体" w:hAnsi="宋体" w:eastAsia="宋体" w:cs="宋体"/>
                <w:i w:val="0"/>
                <w:iCs w:val="0"/>
                <w:color w:val="000000"/>
                <w:kern w:val="0"/>
                <w:sz w:val="21"/>
                <w:szCs w:val="21"/>
                <w:highlight w:val="none"/>
                <w:u w:val="none"/>
                <w:lang w:val="en-US" w:eastAsia="zh-CN" w:bidi="ar"/>
              </w:rPr>
            </w:pPr>
          </w:p>
        </w:tc>
        <w:tc>
          <w:tcPr>
            <w:tcW w:w="1476" w:type="dxa"/>
            <w:tcBorders>
              <w:top w:val="dotted" w:color="auto" w:sz="4" w:space="0"/>
              <w:left w:val="dotted" w:color="auto" w:sz="4" w:space="0"/>
              <w:bottom w:val="dotted" w:color="auto" w:sz="4" w:space="0"/>
            </w:tcBorders>
            <w:vAlign w:val="center"/>
          </w:tcPr>
          <w:p w14:paraId="2E68FC5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8,029,267.88</w:t>
            </w:r>
          </w:p>
        </w:tc>
      </w:tr>
      <w:tr w14:paraId="7C91CD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10" w:hRule="atLeast"/>
          <w:jc w:val="center"/>
        </w:trPr>
        <w:tc>
          <w:tcPr>
            <w:tcW w:w="2729" w:type="dxa"/>
            <w:tcBorders>
              <w:top w:val="dotted" w:color="auto" w:sz="4" w:space="0"/>
              <w:bottom w:val="single" w:color="auto" w:sz="12" w:space="0"/>
              <w:right w:val="dotted" w:color="auto" w:sz="4" w:space="0"/>
            </w:tcBorders>
            <w:vAlign w:val="center"/>
          </w:tcPr>
          <w:p w14:paraId="063A8F31">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1476" w:type="dxa"/>
            <w:tcBorders>
              <w:top w:val="dotted" w:color="auto" w:sz="4" w:space="0"/>
              <w:left w:val="dotted" w:color="auto" w:sz="4" w:space="0"/>
              <w:bottom w:val="single" w:color="auto" w:sz="12" w:space="0"/>
              <w:right w:val="dotted" w:color="auto" w:sz="4" w:space="0"/>
            </w:tcBorders>
            <w:vAlign w:val="center"/>
          </w:tcPr>
          <w:p w14:paraId="3F436D9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7,075,190.69</w:t>
            </w:r>
          </w:p>
        </w:tc>
        <w:tc>
          <w:tcPr>
            <w:tcW w:w="1476" w:type="dxa"/>
            <w:tcBorders>
              <w:top w:val="dotted" w:color="auto" w:sz="4" w:space="0"/>
              <w:left w:val="dotted" w:color="auto" w:sz="4" w:space="0"/>
              <w:bottom w:val="single" w:color="auto" w:sz="12" w:space="0"/>
              <w:right w:val="dotted" w:color="auto" w:sz="4" w:space="0"/>
            </w:tcBorders>
            <w:vAlign w:val="center"/>
          </w:tcPr>
          <w:p w14:paraId="5B51285D">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954,077.19</w:t>
            </w:r>
          </w:p>
        </w:tc>
        <w:tc>
          <w:tcPr>
            <w:tcW w:w="1365" w:type="dxa"/>
            <w:tcBorders>
              <w:top w:val="dotted" w:color="auto" w:sz="4" w:space="0"/>
              <w:left w:val="dotted" w:color="auto" w:sz="4" w:space="0"/>
              <w:bottom w:val="single" w:color="auto" w:sz="12" w:space="0"/>
              <w:right w:val="dotted" w:color="auto" w:sz="4" w:space="0"/>
            </w:tcBorders>
            <w:vAlign w:val="center"/>
          </w:tcPr>
          <w:p w14:paraId="2C14A60D">
            <w:pPr>
              <w:keepNext w:val="0"/>
              <w:keepLines w:val="0"/>
              <w:suppressLineNumbers w:val="0"/>
              <w:spacing w:before="0" w:beforeAutospacing="0" w:after="0" w:afterAutospacing="0"/>
              <w:ind w:left="0" w:right="0"/>
              <w:jc w:val="center"/>
              <w:rPr>
                <w:rFonts w:hint="default" w:asciiTheme="minorEastAsia" w:hAnsiTheme="minorEastAsia" w:eastAsiaTheme="minorEastAsia"/>
                <w:sz w:val="21"/>
                <w:szCs w:val="21"/>
                <w:highlight w:val="none"/>
              </w:rPr>
            </w:pPr>
          </w:p>
        </w:tc>
        <w:tc>
          <w:tcPr>
            <w:tcW w:w="1476" w:type="dxa"/>
            <w:tcBorders>
              <w:top w:val="dotted" w:color="auto" w:sz="4" w:space="0"/>
              <w:left w:val="dotted" w:color="auto" w:sz="4" w:space="0"/>
              <w:bottom w:val="single" w:color="auto" w:sz="12" w:space="0"/>
            </w:tcBorders>
            <w:vAlign w:val="center"/>
          </w:tcPr>
          <w:p w14:paraId="1CA24D0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8,029,267.88</w:t>
            </w:r>
          </w:p>
        </w:tc>
      </w:tr>
    </w:tbl>
    <w:p w14:paraId="5F46A3CC">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十六</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一般风险准备</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633"/>
        <w:gridCol w:w="3059"/>
        <w:gridCol w:w="2830"/>
      </w:tblGrid>
      <w:tr w14:paraId="1A0CD3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3" w:hRule="atLeast"/>
          <w:jc w:val="center"/>
        </w:trPr>
        <w:tc>
          <w:tcPr>
            <w:tcW w:w="2633" w:type="dxa"/>
            <w:tcBorders>
              <w:top w:val="single" w:color="auto" w:sz="12" w:space="0"/>
            </w:tcBorders>
            <w:vAlign w:val="center"/>
          </w:tcPr>
          <w:p w14:paraId="036036D7">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3059" w:type="dxa"/>
            <w:tcBorders>
              <w:top w:val="single" w:color="auto" w:sz="12" w:space="0"/>
            </w:tcBorders>
            <w:vAlign w:val="center"/>
          </w:tcPr>
          <w:p w14:paraId="4B49D2D3">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830" w:type="dxa"/>
            <w:tcBorders>
              <w:top w:val="single" w:color="auto" w:sz="12" w:space="0"/>
            </w:tcBorders>
            <w:vAlign w:val="center"/>
          </w:tcPr>
          <w:p w14:paraId="03373336">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cs="宋体"/>
                <w:i w:val="0"/>
                <w:iCs w:val="0"/>
                <w:color w:val="000000"/>
                <w:kern w:val="0"/>
                <w:sz w:val="21"/>
                <w:szCs w:val="21"/>
                <w:highlight w:val="none"/>
                <w:u w:val="none"/>
                <w:lang w:val="en-US" w:eastAsia="zh-CN" w:bidi="ar"/>
              </w:rPr>
              <w:t>上年年末余额</w:t>
            </w:r>
          </w:p>
        </w:tc>
      </w:tr>
      <w:tr w14:paraId="345FA8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3" w:hRule="atLeast"/>
          <w:jc w:val="center"/>
        </w:trPr>
        <w:tc>
          <w:tcPr>
            <w:tcW w:w="2633" w:type="dxa"/>
            <w:vAlign w:val="center"/>
          </w:tcPr>
          <w:p w14:paraId="25E3DF88">
            <w:pPr>
              <w:keepNext w:val="0"/>
              <w:keepLines w:val="0"/>
              <w:widowControl/>
              <w:suppressLineNumbers w:val="0"/>
              <w:spacing w:before="0" w:beforeAutospacing="0" w:after="0" w:afterAutospacing="0"/>
              <w:ind w:left="0" w:right="0"/>
              <w:jc w:val="center"/>
              <w:textAlignment w:val="center"/>
              <w:rPr>
                <w:rFonts w:hint="default" w:ascii="宋体" w:hAnsi="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一般准备金</w:t>
            </w:r>
          </w:p>
        </w:tc>
        <w:tc>
          <w:tcPr>
            <w:tcW w:w="3059" w:type="dxa"/>
            <w:vAlign w:val="center"/>
          </w:tcPr>
          <w:p w14:paraId="7F950F14">
            <w:pPr>
              <w:keepNext w:val="0"/>
              <w:keepLines w:val="0"/>
              <w:widowControl/>
              <w:suppressLineNumbers w:val="0"/>
              <w:spacing w:before="0" w:beforeAutospacing="0" w:after="0" w:afterAutospacing="0"/>
              <w:ind w:left="0" w:right="0"/>
              <w:jc w:val="right"/>
              <w:textAlignment w:val="center"/>
              <w:rPr>
                <w:rFonts w:hint="default"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16,309,661.56</w:t>
            </w:r>
          </w:p>
        </w:tc>
        <w:tc>
          <w:tcPr>
            <w:tcW w:w="2830" w:type="dxa"/>
            <w:vAlign w:val="center"/>
          </w:tcPr>
          <w:p w14:paraId="07A78A98">
            <w:pPr>
              <w:keepNext w:val="0"/>
              <w:keepLines w:val="0"/>
              <w:widowControl/>
              <w:suppressLineNumbers w:val="0"/>
              <w:spacing w:before="0" w:beforeAutospacing="0" w:after="0" w:afterAutospacing="0"/>
              <w:ind w:left="0" w:right="0"/>
              <w:jc w:val="right"/>
              <w:textAlignment w:val="center"/>
              <w:rPr>
                <w:rFonts w:hint="default"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16,309,661.56</w:t>
            </w:r>
          </w:p>
        </w:tc>
      </w:tr>
      <w:tr w14:paraId="3DC78C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3" w:hRule="atLeast"/>
          <w:jc w:val="center"/>
        </w:trPr>
        <w:tc>
          <w:tcPr>
            <w:tcW w:w="2633" w:type="dxa"/>
            <w:tcBorders>
              <w:bottom w:val="single" w:color="auto" w:sz="12" w:space="0"/>
            </w:tcBorders>
            <w:vAlign w:val="center"/>
          </w:tcPr>
          <w:p w14:paraId="17B3FA13">
            <w:pPr>
              <w:keepNext w:val="0"/>
              <w:keepLines w:val="0"/>
              <w:widowControl/>
              <w:suppressLineNumbers w:val="0"/>
              <w:spacing w:before="0" w:beforeAutospacing="0" w:after="0" w:afterAutospacing="0"/>
              <w:ind w:left="0" w:right="0"/>
              <w:jc w:val="center"/>
              <w:textAlignment w:val="center"/>
              <w:rPr>
                <w:rFonts w:hint="default" w:ascii="宋体" w:hAnsi="宋体"/>
                <w:b/>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3059" w:type="dxa"/>
            <w:tcBorders>
              <w:bottom w:val="single" w:color="auto" w:sz="12" w:space="0"/>
            </w:tcBorders>
            <w:vAlign w:val="center"/>
          </w:tcPr>
          <w:p w14:paraId="54E78C16">
            <w:pPr>
              <w:keepNext w:val="0"/>
              <w:keepLines w:val="0"/>
              <w:widowControl/>
              <w:suppressLineNumbers w:val="0"/>
              <w:spacing w:before="0" w:beforeAutospacing="0" w:after="0" w:afterAutospacing="0"/>
              <w:ind w:left="0" w:right="0"/>
              <w:jc w:val="right"/>
              <w:textAlignment w:val="center"/>
              <w:rPr>
                <w:rFonts w:hint="default"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16,309,661.56</w:t>
            </w:r>
          </w:p>
        </w:tc>
        <w:tc>
          <w:tcPr>
            <w:tcW w:w="2830" w:type="dxa"/>
            <w:tcBorders>
              <w:bottom w:val="single" w:color="auto" w:sz="12" w:space="0"/>
            </w:tcBorders>
            <w:vAlign w:val="center"/>
          </w:tcPr>
          <w:p w14:paraId="6DDEE66E">
            <w:pPr>
              <w:keepNext w:val="0"/>
              <w:keepLines w:val="0"/>
              <w:widowControl/>
              <w:suppressLineNumbers w:val="0"/>
              <w:spacing w:before="0" w:beforeAutospacing="0" w:after="0" w:afterAutospacing="0"/>
              <w:ind w:left="0" w:right="0"/>
              <w:jc w:val="right"/>
              <w:textAlignment w:val="center"/>
              <w:rPr>
                <w:rFonts w:hint="default"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16,309,661.56</w:t>
            </w:r>
          </w:p>
        </w:tc>
      </w:tr>
    </w:tbl>
    <w:p w14:paraId="0A59AA4C">
      <w:pPr>
        <w:autoSpaceDE w:val="0"/>
        <w:autoSpaceDN w:val="0"/>
        <w:adjustRightInd w:val="0"/>
        <w:spacing w:line="48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sz w:val="24"/>
          <w:szCs w:val="24"/>
          <w:highlight w:val="none"/>
        </w:rPr>
        <w:t>本村镇银行按照财政部《金融企业准备金计提管理办法》（财金[2012]20号）的规定提取一般风险准备，原则上一般风险准备余额不低于风险资产期末余额的1.50%</w:t>
      </w:r>
      <w:r>
        <w:rPr>
          <w:rFonts w:hint="eastAsia" w:ascii="宋体" w:hAnsi="宋体" w:cs="宋体"/>
          <w:kern w:val="0"/>
          <w:sz w:val="24"/>
          <w:szCs w:val="24"/>
          <w:highlight w:val="none"/>
        </w:rPr>
        <w:t>，一般风险准备余额占风险资产期末余额的比例，难以一次性达到1.5％的，可以分年到位，原则上不得超过5年</w:t>
      </w:r>
      <w:r>
        <w:rPr>
          <w:rFonts w:hint="eastAsia" w:ascii="宋体"/>
          <w:sz w:val="24"/>
          <w:szCs w:val="24"/>
          <w:highlight w:val="none"/>
        </w:rPr>
        <w:t>。202</w:t>
      </w:r>
      <w:r>
        <w:rPr>
          <w:rFonts w:hint="eastAsia" w:ascii="宋体"/>
          <w:sz w:val="24"/>
          <w:szCs w:val="24"/>
          <w:highlight w:val="none"/>
          <w:lang w:val="en-US" w:eastAsia="zh-CN"/>
        </w:rPr>
        <w:t>4</w:t>
      </w:r>
      <w:r>
        <w:rPr>
          <w:rFonts w:hint="eastAsia" w:ascii="宋体"/>
          <w:sz w:val="24"/>
          <w:szCs w:val="24"/>
          <w:highlight w:val="none"/>
        </w:rPr>
        <w:t>年12月31日</w:t>
      </w:r>
      <w:r>
        <w:rPr>
          <w:rFonts w:ascii="宋体"/>
          <w:sz w:val="24"/>
          <w:szCs w:val="24"/>
          <w:highlight w:val="none"/>
        </w:rPr>
        <w:t>，本</w:t>
      </w:r>
      <w:r>
        <w:rPr>
          <w:rFonts w:hint="eastAsia" w:ascii="宋体"/>
          <w:sz w:val="24"/>
          <w:szCs w:val="24"/>
          <w:highlight w:val="none"/>
        </w:rPr>
        <w:t>村镇银行</w:t>
      </w:r>
      <w:r>
        <w:rPr>
          <w:rFonts w:ascii="宋体"/>
          <w:sz w:val="24"/>
          <w:szCs w:val="24"/>
          <w:highlight w:val="none"/>
        </w:rPr>
        <w:t>一般风险准备余额占本</w:t>
      </w:r>
      <w:r>
        <w:rPr>
          <w:rFonts w:hint="eastAsia" w:ascii="宋体"/>
          <w:sz w:val="24"/>
          <w:szCs w:val="24"/>
          <w:highlight w:val="none"/>
        </w:rPr>
        <w:t>村镇银行</w:t>
      </w:r>
      <w:r>
        <w:rPr>
          <w:rFonts w:ascii="宋体"/>
          <w:sz w:val="24"/>
          <w:szCs w:val="24"/>
          <w:highlight w:val="none"/>
        </w:rPr>
        <w:t>风险资产期末余额的比例为</w:t>
      </w:r>
      <w:r>
        <w:rPr>
          <w:rFonts w:hint="eastAsia" w:ascii="宋体"/>
          <w:color w:val="000000" w:themeColor="text1"/>
          <w:sz w:val="24"/>
          <w:szCs w:val="24"/>
          <w:highlight w:val="none"/>
          <w:lang w:val="en-US" w:eastAsia="zh-CN"/>
          <w14:textFill>
            <w14:solidFill>
              <w14:schemeClr w14:val="tx1"/>
            </w14:solidFill>
          </w14:textFill>
        </w:rPr>
        <w:t>1.50%</w:t>
      </w:r>
      <w:r>
        <w:rPr>
          <w:rFonts w:ascii="宋体"/>
          <w:sz w:val="24"/>
          <w:szCs w:val="24"/>
          <w:highlight w:val="none"/>
        </w:rPr>
        <w:t>。</w:t>
      </w:r>
    </w:p>
    <w:p w14:paraId="667069ED">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十七</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未分配利润</w:t>
      </w:r>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366"/>
        <w:gridCol w:w="2078"/>
        <w:gridCol w:w="2078"/>
      </w:tblGrid>
      <w:tr w14:paraId="44D0F0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blHeader/>
        </w:trPr>
        <w:tc>
          <w:tcPr>
            <w:tcW w:w="4366" w:type="dxa"/>
            <w:tcBorders>
              <w:top w:val="single" w:color="auto" w:sz="12" w:space="0"/>
            </w:tcBorders>
            <w:vAlign w:val="bottom"/>
          </w:tcPr>
          <w:p w14:paraId="1EDAA442">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078" w:type="dxa"/>
            <w:tcBorders>
              <w:top w:val="single" w:color="auto" w:sz="12" w:space="0"/>
            </w:tcBorders>
            <w:vAlign w:val="bottom"/>
          </w:tcPr>
          <w:p w14:paraId="399AC085">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2078" w:type="dxa"/>
            <w:tcBorders>
              <w:top w:val="single" w:color="auto" w:sz="12" w:space="0"/>
            </w:tcBorders>
            <w:vAlign w:val="bottom"/>
          </w:tcPr>
          <w:p w14:paraId="767A02A0">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上年年末余额</w:t>
            </w:r>
          </w:p>
        </w:tc>
      </w:tr>
      <w:tr w14:paraId="64E294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4545636C">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调整前上期末未分配利润</w:t>
            </w:r>
          </w:p>
        </w:tc>
        <w:tc>
          <w:tcPr>
            <w:tcW w:w="2078" w:type="dxa"/>
            <w:vAlign w:val="bottom"/>
          </w:tcPr>
          <w:p w14:paraId="47595E9B">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36,716,518.28</w:t>
            </w:r>
          </w:p>
        </w:tc>
        <w:tc>
          <w:tcPr>
            <w:tcW w:w="2078" w:type="dxa"/>
            <w:vAlign w:val="bottom"/>
          </w:tcPr>
          <w:p w14:paraId="4FA4E97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25,888,654.62</w:t>
            </w:r>
          </w:p>
        </w:tc>
      </w:tr>
      <w:tr w14:paraId="4A1089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09FCC305">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调整期初未分配利润合计数</w:t>
            </w:r>
          </w:p>
        </w:tc>
        <w:tc>
          <w:tcPr>
            <w:tcW w:w="2078" w:type="dxa"/>
            <w:vAlign w:val="bottom"/>
          </w:tcPr>
          <w:p w14:paraId="280444BD">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3,120,227.46</w:t>
            </w:r>
          </w:p>
        </w:tc>
        <w:tc>
          <w:tcPr>
            <w:tcW w:w="2078" w:type="dxa"/>
            <w:vAlign w:val="center"/>
          </w:tcPr>
          <w:p w14:paraId="59C763B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838,168.98</w:t>
            </w:r>
          </w:p>
        </w:tc>
      </w:tr>
      <w:tr w14:paraId="57472A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193790C4">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调整后期初未分配利润</w:t>
            </w:r>
          </w:p>
        </w:tc>
        <w:tc>
          <w:tcPr>
            <w:tcW w:w="2078" w:type="dxa"/>
            <w:vAlign w:val="bottom"/>
          </w:tcPr>
          <w:p w14:paraId="7BC6365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39,836,745.74</w:t>
            </w:r>
          </w:p>
        </w:tc>
        <w:tc>
          <w:tcPr>
            <w:tcW w:w="2078" w:type="dxa"/>
            <w:vAlign w:val="bottom"/>
          </w:tcPr>
          <w:p w14:paraId="79928E22">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26,726,823.60</w:t>
            </w:r>
          </w:p>
        </w:tc>
      </w:tr>
      <w:tr w14:paraId="1DA75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0761848A">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加：本期实现的净利润</w:t>
            </w:r>
          </w:p>
        </w:tc>
        <w:tc>
          <w:tcPr>
            <w:tcW w:w="2078" w:type="dxa"/>
            <w:vAlign w:val="bottom"/>
          </w:tcPr>
          <w:p w14:paraId="22A5D3D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9,540,771.91</w:t>
            </w:r>
          </w:p>
        </w:tc>
        <w:tc>
          <w:tcPr>
            <w:tcW w:w="2078" w:type="dxa"/>
            <w:vAlign w:val="bottom"/>
          </w:tcPr>
          <w:p w14:paraId="69C15B3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21,534,153.74</w:t>
            </w:r>
          </w:p>
        </w:tc>
      </w:tr>
      <w:tr w14:paraId="4542E3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57DA5BAF">
            <w:pPr>
              <w:keepNext w:val="0"/>
              <w:keepLines w:val="0"/>
              <w:widowControl/>
              <w:suppressLineNumbers w:val="0"/>
              <w:spacing w:before="0" w:beforeAutospacing="0" w:after="0" w:afterAutospacing="0"/>
              <w:ind w:left="0" w:right="0"/>
              <w:jc w:val="both"/>
              <w:textAlignment w:val="bottom"/>
              <w:rPr>
                <w:rFonts w:hint="default" w:ascii="宋体" w:hAnsi="宋体"/>
                <w:i/>
                <w:iCs/>
                <w:color w:val="002060"/>
                <w:highlight w:val="none"/>
              </w:rPr>
            </w:pPr>
            <w:r>
              <w:rPr>
                <w:rFonts w:hint="eastAsia" w:ascii="宋体" w:hAnsi="宋体" w:eastAsia="宋体" w:cs="宋体"/>
                <w:i w:val="0"/>
                <w:iCs w:val="0"/>
                <w:color w:val="000000"/>
                <w:kern w:val="0"/>
                <w:sz w:val="21"/>
                <w:szCs w:val="21"/>
                <w:highlight w:val="none"/>
                <w:u w:val="none"/>
                <w:lang w:val="en-US" w:eastAsia="zh-CN" w:bidi="ar"/>
              </w:rPr>
              <w:t>盈余公积补亏</w:t>
            </w:r>
          </w:p>
        </w:tc>
        <w:tc>
          <w:tcPr>
            <w:tcW w:w="2078" w:type="dxa"/>
            <w:vAlign w:val="bottom"/>
          </w:tcPr>
          <w:p w14:paraId="75C5A2E2">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themeColor="text1"/>
                <w:highlight w:val="none"/>
                <w14:textFill>
                  <w14:solidFill>
                    <w14:schemeClr w14:val="tx1"/>
                  </w14:solidFill>
                </w14:textFill>
              </w:rPr>
            </w:pPr>
          </w:p>
        </w:tc>
        <w:tc>
          <w:tcPr>
            <w:tcW w:w="2078" w:type="dxa"/>
            <w:vAlign w:val="center"/>
          </w:tcPr>
          <w:p w14:paraId="5729D47F">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2C4918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3CE0F1E4">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减：提取法定盈余公积</w:t>
            </w:r>
          </w:p>
        </w:tc>
        <w:tc>
          <w:tcPr>
            <w:tcW w:w="2078" w:type="dxa"/>
            <w:vAlign w:val="bottom"/>
          </w:tcPr>
          <w:p w14:paraId="2E2732C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954,077.19</w:t>
            </w:r>
          </w:p>
        </w:tc>
        <w:tc>
          <w:tcPr>
            <w:tcW w:w="2078" w:type="dxa"/>
            <w:vAlign w:val="bottom"/>
          </w:tcPr>
          <w:p w14:paraId="4510FAA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2,153,415.37</w:t>
            </w:r>
          </w:p>
        </w:tc>
      </w:tr>
      <w:tr w14:paraId="054150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54E14E1F">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提取任意盈余公积</w:t>
            </w:r>
          </w:p>
        </w:tc>
        <w:tc>
          <w:tcPr>
            <w:tcW w:w="2078" w:type="dxa"/>
            <w:vAlign w:val="center"/>
          </w:tcPr>
          <w:p w14:paraId="6038E356">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078" w:type="dxa"/>
            <w:vAlign w:val="center"/>
          </w:tcPr>
          <w:p w14:paraId="1AEB1927">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1970DA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3D2D001A">
            <w:pPr>
              <w:keepNext w:val="0"/>
              <w:keepLines w:val="0"/>
              <w:widowControl/>
              <w:suppressLineNumbers w:val="0"/>
              <w:spacing w:before="0" w:beforeAutospacing="0" w:after="0" w:afterAutospacing="0"/>
              <w:ind w:left="0" w:right="0"/>
              <w:jc w:val="both"/>
              <w:textAlignment w:val="bottom"/>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提取一般风险准备</w:t>
            </w:r>
          </w:p>
        </w:tc>
        <w:tc>
          <w:tcPr>
            <w:tcW w:w="2078" w:type="dxa"/>
            <w:vAlign w:val="bottom"/>
          </w:tcPr>
          <w:p w14:paraId="5CAA3B47">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078" w:type="dxa"/>
            <w:vAlign w:val="bottom"/>
          </w:tcPr>
          <w:p w14:paraId="290AB22A">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6,270,816.23</w:t>
            </w:r>
          </w:p>
        </w:tc>
      </w:tr>
      <w:tr w14:paraId="48D93E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467E7E39">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应付优先股股利</w:t>
            </w:r>
          </w:p>
        </w:tc>
        <w:tc>
          <w:tcPr>
            <w:tcW w:w="2078" w:type="dxa"/>
            <w:vAlign w:val="center"/>
          </w:tcPr>
          <w:p w14:paraId="4EE122AC">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078" w:type="dxa"/>
            <w:vAlign w:val="center"/>
          </w:tcPr>
          <w:p w14:paraId="2D4E8D43">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09FF2F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6EDE21CF">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应付普通股股利</w:t>
            </w:r>
          </w:p>
        </w:tc>
        <w:tc>
          <w:tcPr>
            <w:tcW w:w="2078" w:type="dxa"/>
            <w:vAlign w:val="bottom"/>
          </w:tcPr>
          <w:p w14:paraId="31289A93">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078" w:type="dxa"/>
            <w:vAlign w:val="bottom"/>
          </w:tcPr>
          <w:p w14:paraId="3A28AB2D">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4F4AF1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vAlign w:val="bottom"/>
          </w:tcPr>
          <w:p w14:paraId="2AA2CEE8">
            <w:pPr>
              <w:keepNext w:val="0"/>
              <w:keepLines w:val="0"/>
              <w:widowControl/>
              <w:suppressLineNumbers w:val="0"/>
              <w:spacing w:before="0" w:beforeAutospacing="0" w:after="0" w:afterAutospacing="0"/>
              <w:ind w:left="0" w:right="0"/>
              <w:jc w:val="both"/>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转作股本的普通股股利</w:t>
            </w:r>
          </w:p>
        </w:tc>
        <w:tc>
          <w:tcPr>
            <w:tcW w:w="2078" w:type="dxa"/>
            <w:vAlign w:val="center"/>
          </w:tcPr>
          <w:p w14:paraId="1282956E">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078" w:type="dxa"/>
            <w:vAlign w:val="center"/>
          </w:tcPr>
          <w:p w14:paraId="491C00D4">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6B3970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54" w:hRule="atLeast"/>
        </w:trPr>
        <w:tc>
          <w:tcPr>
            <w:tcW w:w="4366" w:type="dxa"/>
            <w:tcBorders>
              <w:bottom w:val="single" w:color="auto" w:sz="12" w:space="0"/>
            </w:tcBorders>
            <w:vAlign w:val="bottom"/>
          </w:tcPr>
          <w:p w14:paraId="07DDCFE4">
            <w:pPr>
              <w:keepNext w:val="0"/>
              <w:keepLines w:val="0"/>
              <w:widowControl/>
              <w:suppressLineNumbers w:val="0"/>
              <w:spacing w:before="0" w:beforeAutospacing="0" w:after="0" w:afterAutospacing="0"/>
              <w:ind w:left="0" w:right="0"/>
              <w:jc w:val="center"/>
              <w:textAlignment w:val="bottom"/>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期末未分配利润</w:t>
            </w:r>
          </w:p>
        </w:tc>
        <w:tc>
          <w:tcPr>
            <w:tcW w:w="2078" w:type="dxa"/>
            <w:tcBorders>
              <w:bottom w:val="single" w:color="auto" w:sz="12" w:space="0"/>
            </w:tcBorders>
            <w:vAlign w:val="bottom"/>
          </w:tcPr>
          <w:p w14:paraId="72693C3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48,423,440.46</w:t>
            </w:r>
          </w:p>
        </w:tc>
        <w:tc>
          <w:tcPr>
            <w:tcW w:w="2078" w:type="dxa"/>
            <w:tcBorders>
              <w:bottom w:val="single" w:color="auto" w:sz="12" w:space="0"/>
            </w:tcBorders>
            <w:vAlign w:val="bottom"/>
          </w:tcPr>
          <w:p w14:paraId="6CEB4294">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39,836,745.74</w:t>
            </w:r>
          </w:p>
        </w:tc>
      </w:tr>
    </w:tbl>
    <w:p w14:paraId="08E35554">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十八</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利息净收入</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71"/>
        <w:gridCol w:w="2523"/>
        <w:gridCol w:w="2528"/>
      </w:tblGrid>
      <w:tr w14:paraId="46B175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tcBorders>
              <w:top w:val="single" w:color="auto" w:sz="12" w:space="0"/>
            </w:tcBorders>
            <w:vAlign w:val="center"/>
          </w:tcPr>
          <w:p w14:paraId="115E0B20">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523" w:type="dxa"/>
            <w:tcBorders>
              <w:top w:val="single" w:color="auto" w:sz="12" w:space="0"/>
            </w:tcBorders>
            <w:vAlign w:val="center"/>
          </w:tcPr>
          <w:p w14:paraId="328BDC0B">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528" w:type="dxa"/>
            <w:tcBorders>
              <w:top w:val="single" w:color="auto" w:sz="12" w:space="0"/>
            </w:tcBorders>
            <w:vAlign w:val="center"/>
          </w:tcPr>
          <w:p w14:paraId="5BEBBB7B">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5B1D57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689C07B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bookmarkStart w:id="5" w:name="OLE_LINK51" w:colFirst="1" w:colLast="2"/>
            <w:bookmarkStart w:id="6" w:name="OLE_LINK49" w:colFirst="1" w:colLast="2"/>
            <w:bookmarkStart w:id="7" w:name="OLE_LINK50" w:colFirst="1" w:colLast="2"/>
            <w:bookmarkStart w:id="8" w:name="OLE_LINK25" w:colFirst="1" w:colLast="1"/>
            <w:bookmarkStart w:id="9" w:name="OLE_LINK47" w:colFirst="0" w:colLast="2"/>
            <w:bookmarkStart w:id="10" w:name="OLE_LINK48" w:colFirst="1" w:colLast="2"/>
            <w:r>
              <w:rPr>
                <w:rFonts w:hint="eastAsia" w:ascii="宋体" w:hAnsi="宋体" w:eastAsia="宋体" w:cs="宋体"/>
                <w:i w:val="0"/>
                <w:iCs w:val="0"/>
                <w:color w:val="000000"/>
                <w:kern w:val="0"/>
                <w:sz w:val="21"/>
                <w:szCs w:val="21"/>
                <w:highlight w:val="none"/>
                <w:u w:val="none"/>
                <w:lang w:val="en-US" w:eastAsia="zh-CN" w:bidi="ar"/>
              </w:rPr>
              <w:t>利息收入合计</w:t>
            </w:r>
          </w:p>
        </w:tc>
        <w:tc>
          <w:tcPr>
            <w:tcW w:w="2523" w:type="dxa"/>
            <w:vAlign w:val="center"/>
          </w:tcPr>
          <w:p w14:paraId="289695C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82,895,648.47</w:t>
            </w:r>
          </w:p>
        </w:tc>
        <w:tc>
          <w:tcPr>
            <w:tcW w:w="2528" w:type="dxa"/>
            <w:vAlign w:val="center"/>
          </w:tcPr>
          <w:p w14:paraId="4AE3A27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76,337,582.69</w:t>
            </w:r>
          </w:p>
        </w:tc>
      </w:tr>
      <w:tr w14:paraId="4E4BC6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252AD5E8">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贷款利息收入</w:t>
            </w:r>
          </w:p>
        </w:tc>
        <w:tc>
          <w:tcPr>
            <w:tcW w:w="2523" w:type="dxa"/>
            <w:vAlign w:val="center"/>
          </w:tcPr>
          <w:p w14:paraId="2512238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80,076,854.44</w:t>
            </w:r>
          </w:p>
        </w:tc>
        <w:tc>
          <w:tcPr>
            <w:tcW w:w="2528" w:type="dxa"/>
            <w:vAlign w:val="center"/>
          </w:tcPr>
          <w:p w14:paraId="1094148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72,670,339.18</w:t>
            </w:r>
          </w:p>
        </w:tc>
      </w:tr>
      <w:tr w14:paraId="5F6E94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308C915A">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金融企业往来利息收入</w:t>
            </w:r>
          </w:p>
        </w:tc>
        <w:tc>
          <w:tcPr>
            <w:tcW w:w="2523" w:type="dxa"/>
            <w:vAlign w:val="center"/>
          </w:tcPr>
          <w:p w14:paraId="7E222B2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2,818,794.03</w:t>
            </w:r>
          </w:p>
        </w:tc>
        <w:tc>
          <w:tcPr>
            <w:tcW w:w="2528" w:type="dxa"/>
            <w:vAlign w:val="center"/>
          </w:tcPr>
          <w:p w14:paraId="79CE169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3,667,243.51</w:t>
            </w:r>
          </w:p>
        </w:tc>
      </w:tr>
      <w:tr w14:paraId="3B00F5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3CDF0693">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bookmarkStart w:id="11" w:name="OLE_LINK24" w:colFirst="1" w:colLast="2"/>
            <w:bookmarkStart w:id="12" w:name="OLE_LINK23" w:colFirst="3" w:colLast="4"/>
            <w:bookmarkStart w:id="13" w:name="OLE_LINK22" w:colFirst="3" w:colLast="4"/>
            <w:r>
              <w:rPr>
                <w:rFonts w:hint="eastAsia" w:ascii="宋体" w:hAnsi="宋体" w:eastAsia="宋体" w:cs="宋体"/>
                <w:i w:val="0"/>
                <w:iCs w:val="0"/>
                <w:color w:val="000000"/>
                <w:kern w:val="0"/>
                <w:sz w:val="21"/>
                <w:szCs w:val="21"/>
                <w:highlight w:val="none"/>
                <w:u w:val="none"/>
                <w:lang w:val="en-US" w:eastAsia="zh-CN" w:bidi="ar"/>
              </w:rPr>
              <w:t>利息支出合计</w:t>
            </w:r>
          </w:p>
        </w:tc>
        <w:tc>
          <w:tcPr>
            <w:tcW w:w="2523" w:type="dxa"/>
            <w:vAlign w:val="center"/>
          </w:tcPr>
          <w:p w14:paraId="3E5045E4">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26,053,121.17</w:t>
            </w:r>
          </w:p>
        </w:tc>
        <w:tc>
          <w:tcPr>
            <w:tcW w:w="2528" w:type="dxa"/>
            <w:vAlign w:val="center"/>
          </w:tcPr>
          <w:p w14:paraId="64ED3F5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27,127,233.55</w:t>
            </w:r>
          </w:p>
        </w:tc>
      </w:tr>
      <w:bookmarkEnd w:id="11"/>
      <w:tr w14:paraId="345A46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1FAB2720">
            <w:pPr>
              <w:keepNext w:val="0"/>
              <w:keepLines w:val="0"/>
              <w:widowControl/>
              <w:suppressLineNumbers w:val="0"/>
              <w:spacing w:before="0" w:beforeAutospacing="0" w:after="0" w:afterAutospacing="0"/>
              <w:ind w:left="0" w:right="0"/>
              <w:jc w:val="left"/>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利息支出</w:t>
            </w:r>
          </w:p>
        </w:tc>
        <w:tc>
          <w:tcPr>
            <w:tcW w:w="2523" w:type="dxa"/>
            <w:vAlign w:val="center"/>
          </w:tcPr>
          <w:p w14:paraId="58E9511F">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24,842,440.04</w:t>
            </w:r>
          </w:p>
        </w:tc>
        <w:tc>
          <w:tcPr>
            <w:tcW w:w="2528" w:type="dxa"/>
            <w:vAlign w:val="center"/>
          </w:tcPr>
          <w:p w14:paraId="08135C0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26,949,924.66</w:t>
            </w:r>
          </w:p>
        </w:tc>
      </w:tr>
      <w:tr w14:paraId="0FB5F8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274DC346">
            <w:pPr>
              <w:keepNext w:val="0"/>
              <w:keepLines w:val="0"/>
              <w:widowControl/>
              <w:suppressLineNumbers w:val="0"/>
              <w:spacing w:before="0" w:beforeAutospacing="0" w:after="0" w:afterAutospacing="0"/>
              <w:ind w:left="0" w:right="0"/>
              <w:jc w:val="left"/>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金融企业往来利息支出</w:t>
            </w:r>
          </w:p>
        </w:tc>
        <w:tc>
          <w:tcPr>
            <w:tcW w:w="2523" w:type="dxa"/>
            <w:vAlign w:val="center"/>
          </w:tcPr>
          <w:p w14:paraId="21A52DD5">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1,210,681.13</w:t>
            </w:r>
          </w:p>
        </w:tc>
        <w:tc>
          <w:tcPr>
            <w:tcW w:w="2528" w:type="dxa"/>
            <w:vAlign w:val="center"/>
          </w:tcPr>
          <w:p w14:paraId="3D4FECF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177,308.89</w:t>
            </w:r>
          </w:p>
        </w:tc>
      </w:tr>
      <w:bookmarkEnd w:id="12"/>
      <w:bookmarkEnd w:id="13"/>
      <w:tr w14:paraId="6E17AF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tcBorders>
              <w:bottom w:val="single" w:color="auto" w:sz="12" w:space="0"/>
            </w:tcBorders>
            <w:vAlign w:val="center"/>
          </w:tcPr>
          <w:p w14:paraId="3C6CAE2D">
            <w:pPr>
              <w:keepNext w:val="0"/>
              <w:keepLines w:val="0"/>
              <w:widowControl/>
              <w:suppressLineNumbers w:val="0"/>
              <w:spacing w:before="0" w:beforeAutospacing="0" w:after="0" w:afterAutospacing="0"/>
              <w:ind w:left="0" w:right="0"/>
              <w:jc w:val="center"/>
              <w:textAlignment w:val="center"/>
              <w:rPr>
                <w:rFonts w:hint="default" w:ascii="宋体" w:hAnsi="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利息净收入</w:t>
            </w:r>
          </w:p>
        </w:tc>
        <w:tc>
          <w:tcPr>
            <w:tcW w:w="2523" w:type="dxa"/>
            <w:tcBorders>
              <w:bottom w:val="single" w:color="auto" w:sz="12" w:space="0"/>
            </w:tcBorders>
            <w:vAlign w:val="center"/>
          </w:tcPr>
          <w:p w14:paraId="5B85326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56,842,527.30</w:t>
            </w:r>
          </w:p>
        </w:tc>
        <w:tc>
          <w:tcPr>
            <w:tcW w:w="2528" w:type="dxa"/>
            <w:tcBorders>
              <w:bottom w:val="single" w:color="auto" w:sz="12" w:space="0"/>
            </w:tcBorders>
            <w:vAlign w:val="center"/>
          </w:tcPr>
          <w:p w14:paraId="379AD58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49,210,349.14</w:t>
            </w:r>
          </w:p>
        </w:tc>
      </w:tr>
      <w:bookmarkEnd w:id="5"/>
      <w:bookmarkEnd w:id="6"/>
      <w:bookmarkEnd w:id="7"/>
      <w:bookmarkEnd w:id="8"/>
      <w:bookmarkEnd w:id="9"/>
      <w:bookmarkEnd w:id="10"/>
    </w:tbl>
    <w:p w14:paraId="61E43555">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十九</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手续费及佣金净收入</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531"/>
        <w:gridCol w:w="2528"/>
        <w:gridCol w:w="2463"/>
      </w:tblGrid>
      <w:tr w14:paraId="01FE04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54" w:hRule="exact"/>
          <w:tblHeader/>
          <w:jc w:val="center"/>
        </w:trPr>
        <w:tc>
          <w:tcPr>
            <w:tcW w:w="3531" w:type="dxa"/>
            <w:tcBorders>
              <w:top w:val="single" w:color="auto" w:sz="12" w:space="0"/>
            </w:tcBorders>
            <w:vAlign w:val="center"/>
          </w:tcPr>
          <w:p w14:paraId="56D86EB2">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528" w:type="dxa"/>
            <w:tcBorders>
              <w:top w:val="single" w:color="auto" w:sz="12" w:space="0"/>
            </w:tcBorders>
            <w:vAlign w:val="center"/>
          </w:tcPr>
          <w:p w14:paraId="2A17002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463" w:type="dxa"/>
            <w:tcBorders>
              <w:top w:val="single" w:color="auto" w:sz="12" w:space="0"/>
            </w:tcBorders>
            <w:vAlign w:val="center"/>
          </w:tcPr>
          <w:p w14:paraId="33B56FBC">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595C33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3DB334BB">
            <w:pPr>
              <w:keepNext w:val="0"/>
              <w:keepLines w:val="0"/>
              <w:widowControl/>
              <w:suppressLineNumbers w:val="0"/>
              <w:spacing w:before="0" w:beforeAutospacing="0" w:after="0" w:afterAutospacing="0"/>
              <w:ind w:left="0" w:right="0" w:firstLine="630" w:firstLineChars="30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手续费及佣金收入合计</w:t>
            </w:r>
          </w:p>
        </w:tc>
        <w:tc>
          <w:tcPr>
            <w:tcW w:w="2528" w:type="dxa"/>
            <w:vAlign w:val="center"/>
          </w:tcPr>
          <w:p w14:paraId="658A9FD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40,463.09</w:t>
            </w:r>
          </w:p>
        </w:tc>
        <w:tc>
          <w:tcPr>
            <w:tcW w:w="2463" w:type="dxa"/>
            <w:vAlign w:val="center"/>
          </w:tcPr>
          <w:p w14:paraId="16867414">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56,210.45</w:t>
            </w:r>
          </w:p>
        </w:tc>
      </w:tr>
      <w:tr w14:paraId="739C2A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1D86107C">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国内结算业务收入</w:t>
            </w:r>
          </w:p>
        </w:tc>
        <w:tc>
          <w:tcPr>
            <w:tcW w:w="2528" w:type="dxa"/>
            <w:vAlign w:val="center"/>
          </w:tcPr>
          <w:p w14:paraId="5AAD83D8">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463" w:type="dxa"/>
            <w:vAlign w:val="center"/>
          </w:tcPr>
          <w:p w14:paraId="566B69F8">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4A0D25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4253061F">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代理业务</w:t>
            </w:r>
          </w:p>
        </w:tc>
        <w:tc>
          <w:tcPr>
            <w:tcW w:w="2528" w:type="dxa"/>
            <w:vAlign w:val="center"/>
          </w:tcPr>
          <w:p w14:paraId="327CDD3F">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463" w:type="dxa"/>
            <w:vAlign w:val="center"/>
          </w:tcPr>
          <w:p w14:paraId="0A79CA09">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3C9D5A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2291DFBE">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银行卡业务</w:t>
            </w:r>
          </w:p>
        </w:tc>
        <w:tc>
          <w:tcPr>
            <w:tcW w:w="2528" w:type="dxa"/>
            <w:vAlign w:val="center"/>
          </w:tcPr>
          <w:p w14:paraId="17E0900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33,577.64</w:t>
            </w:r>
          </w:p>
        </w:tc>
        <w:tc>
          <w:tcPr>
            <w:tcW w:w="2463" w:type="dxa"/>
            <w:vAlign w:val="center"/>
          </w:tcPr>
          <w:p w14:paraId="1D12EEB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48,964.86</w:t>
            </w:r>
          </w:p>
        </w:tc>
      </w:tr>
      <w:tr w14:paraId="01BAF5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1592D4BD">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其他手续费及佣金收入</w:t>
            </w:r>
          </w:p>
        </w:tc>
        <w:tc>
          <w:tcPr>
            <w:tcW w:w="2528" w:type="dxa"/>
            <w:vAlign w:val="center"/>
          </w:tcPr>
          <w:p w14:paraId="2A0CD10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6,885.45</w:t>
            </w:r>
          </w:p>
        </w:tc>
        <w:tc>
          <w:tcPr>
            <w:tcW w:w="2463" w:type="dxa"/>
            <w:vAlign w:val="center"/>
          </w:tcPr>
          <w:p w14:paraId="6865565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7,245.59</w:t>
            </w:r>
          </w:p>
        </w:tc>
      </w:tr>
      <w:tr w14:paraId="377952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42511DDD">
            <w:pPr>
              <w:keepNext w:val="0"/>
              <w:keepLines w:val="0"/>
              <w:widowControl/>
              <w:suppressLineNumbers w:val="0"/>
              <w:spacing w:before="0" w:beforeAutospacing="0" w:after="0" w:afterAutospacing="0"/>
              <w:ind w:left="0" w:right="0" w:firstLine="630" w:firstLineChars="30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手续费及佣金支出合计</w:t>
            </w:r>
          </w:p>
        </w:tc>
        <w:tc>
          <w:tcPr>
            <w:tcW w:w="2528" w:type="dxa"/>
            <w:vAlign w:val="center"/>
          </w:tcPr>
          <w:p w14:paraId="559075C2">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269,505.92</w:t>
            </w:r>
          </w:p>
        </w:tc>
        <w:tc>
          <w:tcPr>
            <w:tcW w:w="2463" w:type="dxa"/>
            <w:vAlign w:val="center"/>
          </w:tcPr>
          <w:p w14:paraId="42E41094">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201,052.11</w:t>
            </w:r>
          </w:p>
        </w:tc>
      </w:tr>
      <w:tr w14:paraId="490283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54C8D50C">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支付结算业务手续费支出</w:t>
            </w:r>
          </w:p>
        </w:tc>
        <w:tc>
          <w:tcPr>
            <w:tcW w:w="2528" w:type="dxa"/>
            <w:vAlign w:val="center"/>
          </w:tcPr>
          <w:p w14:paraId="0F688BC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156,029.06</w:t>
            </w:r>
          </w:p>
        </w:tc>
        <w:tc>
          <w:tcPr>
            <w:tcW w:w="2463" w:type="dxa"/>
            <w:vAlign w:val="center"/>
          </w:tcPr>
          <w:p w14:paraId="4A87C0A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133,653.69</w:t>
            </w:r>
          </w:p>
        </w:tc>
      </w:tr>
      <w:tr w14:paraId="5914D0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217AD2C4">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电子银行业务手续费支出</w:t>
            </w:r>
          </w:p>
        </w:tc>
        <w:tc>
          <w:tcPr>
            <w:tcW w:w="2528" w:type="dxa"/>
            <w:vAlign w:val="center"/>
          </w:tcPr>
          <w:p w14:paraId="33043AC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16,325.73</w:t>
            </w:r>
          </w:p>
        </w:tc>
        <w:tc>
          <w:tcPr>
            <w:tcW w:w="2463" w:type="dxa"/>
            <w:vAlign w:val="center"/>
          </w:tcPr>
          <w:p w14:paraId="68C2748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23121.46</w:t>
            </w:r>
          </w:p>
        </w:tc>
      </w:tr>
      <w:tr w14:paraId="7222AC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vAlign w:val="center"/>
          </w:tcPr>
          <w:p w14:paraId="25AB03D5">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其他手续费及佣金支出</w:t>
            </w:r>
          </w:p>
        </w:tc>
        <w:tc>
          <w:tcPr>
            <w:tcW w:w="2528" w:type="dxa"/>
            <w:vAlign w:val="center"/>
          </w:tcPr>
          <w:p w14:paraId="4AB3F66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97,151.13</w:t>
            </w:r>
          </w:p>
        </w:tc>
        <w:tc>
          <w:tcPr>
            <w:tcW w:w="2463" w:type="dxa"/>
            <w:vAlign w:val="center"/>
          </w:tcPr>
          <w:p w14:paraId="451619CF">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44,276.96</w:t>
            </w:r>
          </w:p>
        </w:tc>
      </w:tr>
      <w:tr w14:paraId="18AF3C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jc w:val="center"/>
        </w:trPr>
        <w:tc>
          <w:tcPr>
            <w:tcW w:w="3531" w:type="dxa"/>
            <w:tcBorders>
              <w:bottom w:val="single" w:color="auto" w:sz="12" w:space="0"/>
            </w:tcBorders>
            <w:vAlign w:val="center"/>
          </w:tcPr>
          <w:p w14:paraId="368EA536">
            <w:pPr>
              <w:keepNext w:val="0"/>
              <w:keepLines w:val="0"/>
              <w:widowControl/>
              <w:suppressLineNumbers w:val="0"/>
              <w:spacing w:before="0" w:beforeAutospacing="0" w:after="0" w:afterAutospacing="0"/>
              <w:ind w:left="0" w:right="0"/>
              <w:jc w:val="center"/>
              <w:textAlignment w:val="center"/>
              <w:rPr>
                <w:rFonts w:hint="default" w:ascii="宋体" w:hAnsi="宋体"/>
                <w:b/>
                <w:highlight w:val="none"/>
              </w:rPr>
            </w:pPr>
            <w:r>
              <w:rPr>
                <w:rFonts w:hint="eastAsia" w:ascii="宋体" w:hAnsi="宋体" w:eastAsia="宋体" w:cs="宋体"/>
                <w:b/>
                <w:bCs/>
                <w:i w:val="0"/>
                <w:iCs w:val="0"/>
                <w:color w:val="000000"/>
                <w:kern w:val="0"/>
                <w:sz w:val="21"/>
                <w:szCs w:val="21"/>
                <w:highlight w:val="none"/>
                <w:u w:val="none"/>
                <w:lang w:val="en-US" w:eastAsia="zh-CN" w:bidi="ar"/>
              </w:rPr>
              <w:t>手续费及佣金净收入</w:t>
            </w:r>
          </w:p>
        </w:tc>
        <w:tc>
          <w:tcPr>
            <w:tcW w:w="2528" w:type="dxa"/>
            <w:tcBorders>
              <w:bottom w:val="single" w:color="auto" w:sz="12" w:space="0"/>
            </w:tcBorders>
            <w:vAlign w:val="center"/>
          </w:tcPr>
          <w:p w14:paraId="695192E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-229,042.83</w:t>
            </w:r>
          </w:p>
        </w:tc>
        <w:tc>
          <w:tcPr>
            <w:tcW w:w="2463" w:type="dxa"/>
            <w:tcBorders>
              <w:bottom w:val="single" w:color="auto" w:sz="12" w:space="0"/>
            </w:tcBorders>
            <w:vAlign w:val="center"/>
          </w:tcPr>
          <w:p w14:paraId="65E9342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-144,841.66</w:t>
            </w:r>
          </w:p>
        </w:tc>
      </w:tr>
    </w:tbl>
    <w:p w14:paraId="24098EC7">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资产处置收益</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71"/>
        <w:gridCol w:w="2523"/>
        <w:gridCol w:w="2528"/>
      </w:tblGrid>
      <w:tr w14:paraId="5E199E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54" w:hRule="atLeast"/>
          <w:jc w:val="center"/>
        </w:trPr>
        <w:tc>
          <w:tcPr>
            <w:tcW w:w="3471" w:type="dxa"/>
            <w:tcBorders>
              <w:top w:val="single" w:color="auto" w:sz="12" w:space="0"/>
            </w:tcBorders>
            <w:vAlign w:val="center"/>
          </w:tcPr>
          <w:p w14:paraId="724CF915">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523" w:type="dxa"/>
            <w:tcBorders>
              <w:top w:val="single" w:color="auto" w:sz="12" w:space="0"/>
            </w:tcBorders>
            <w:vAlign w:val="center"/>
          </w:tcPr>
          <w:p w14:paraId="3182ABC0">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528" w:type="dxa"/>
            <w:tcBorders>
              <w:top w:val="single" w:color="auto" w:sz="12" w:space="0"/>
            </w:tcBorders>
            <w:vAlign w:val="center"/>
          </w:tcPr>
          <w:p w14:paraId="772A2C69">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030963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6874836B">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cs="宋体"/>
                <w:i w:val="0"/>
                <w:iCs w:val="0"/>
                <w:color w:val="000000"/>
                <w:kern w:val="0"/>
                <w:sz w:val="21"/>
                <w:szCs w:val="21"/>
                <w:highlight w:val="none"/>
                <w:u w:val="none"/>
                <w:lang w:val="en-US" w:eastAsia="zh-CN" w:bidi="ar"/>
              </w:rPr>
              <w:t>抵债</w:t>
            </w:r>
            <w:r>
              <w:rPr>
                <w:rFonts w:hint="eastAsia" w:ascii="宋体" w:hAnsi="宋体" w:eastAsia="宋体" w:cs="宋体"/>
                <w:i w:val="0"/>
                <w:iCs w:val="0"/>
                <w:color w:val="000000"/>
                <w:kern w:val="0"/>
                <w:sz w:val="21"/>
                <w:szCs w:val="21"/>
                <w:highlight w:val="none"/>
                <w:u w:val="none"/>
                <w:lang w:val="en-US" w:eastAsia="zh-CN" w:bidi="ar"/>
              </w:rPr>
              <w:t>资产处置收益</w:t>
            </w:r>
          </w:p>
        </w:tc>
        <w:tc>
          <w:tcPr>
            <w:tcW w:w="2523" w:type="dxa"/>
            <w:vAlign w:val="center"/>
          </w:tcPr>
          <w:p w14:paraId="1211F32A">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2528" w:type="dxa"/>
            <w:vAlign w:val="center"/>
          </w:tcPr>
          <w:p w14:paraId="025F9110">
            <w:pPr>
              <w:keepNext w:val="0"/>
              <w:keepLines w:val="0"/>
              <w:widowControl/>
              <w:suppressLineNumbers w:val="0"/>
              <w:spacing w:before="0" w:beforeAutospacing="0" w:after="0" w:afterAutospacing="0"/>
              <w:ind w:left="0" w:right="0"/>
              <w:jc w:val="right"/>
              <w:textAlignment w:val="center"/>
              <w:rPr>
                <w:rFonts w:hint="default" w:ascii="宋体" w:hAnsi="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209,615.81 </w:t>
            </w:r>
          </w:p>
        </w:tc>
      </w:tr>
      <w:tr w14:paraId="2AAD84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71" w:type="dxa"/>
            <w:vAlign w:val="center"/>
          </w:tcPr>
          <w:p w14:paraId="63992351">
            <w:pPr>
              <w:keepNext w:val="0"/>
              <w:keepLines w:val="0"/>
              <w:widowControl/>
              <w:suppressLineNumbers w:val="0"/>
              <w:spacing w:before="0" w:beforeAutospacing="0" w:after="0" w:afterAutospacing="0"/>
              <w:ind w:left="0" w:right="0"/>
              <w:jc w:val="center"/>
              <w:textAlignment w:val="center"/>
              <w:rPr>
                <w:rFonts w:hint="default" w:ascii="宋体" w:hAnsi="宋体"/>
                <w:b/>
                <w:bCs/>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523" w:type="dxa"/>
            <w:vAlign w:val="center"/>
          </w:tcPr>
          <w:p w14:paraId="64E24C6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2528" w:type="dxa"/>
            <w:vAlign w:val="center"/>
          </w:tcPr>
          <w:p w14:paraId="2F54AA8B">
            <w:pPr>
              <w:keepNext w:val="0"/>
              <w:keepLines w:val="0"/>
              <w:widowControl/>
              <w:suppressLineNumbers w:val="0"/>
              <w:spacing w:before="0" w:beforeAutospacing="0" w:after="0" w:afterAutospacing="0"/>
              <w:ind w:left="0" w:right="0"/>
              <w:jc w:val="right"/>
              <w:textAlignment w:val="center"/>
              <w:rPr>
                <w:rFonts w:hint="default" w:ascii="宋体" w:hAnsi="宋体"/>
                <w:highlight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209,615.81 </w:t>
            </w:r>
          </w:p>
        </w:tc>
      </w:tr>
    </w:tbl>
    <w:p w14:paraId="412419A8">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二十一</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其他收益</w:t>
      </w:r>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701"/>
        <w:gridCol w:w="1987"/>
        <w:gridCol w:w="1917"/>
        <w:gridCol w:w="1917"/>
      </w:tblGrid>
      <w:tr w14:paraId="488F57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710" w:hRule="exact"/>
          <w:tblHeader/>
        </w:trPr>
        <w:tc>
          <w:tcPr>
            <w:tcW w:w="2701" w:type="dxa"/>
            <w:tcBorders>
              <w:top w:val="single" w:color="auto" w:sz="12" w:space="0"/>
            </w:tcBorders>
            <w:vAlign w:val="center"/>
          </w:tcPr>
          <w:p w14:paraId="7839A49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987" w:type="dxa"/>
            <w:tcBorders>
              <w:top w:val="single" w:color="auto" w:sz="12" w:space="0"/>
            </w:tcBorders>
            <w:vAlign w:val="center"/>
          </w:tcPr>
          <w:p w14:paraId="6B99787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1917" w:type="dxa"/>
            <w:tcBorders>
              <w:top w:val="single" w:color="auto" w:sz="12" w:space="0"/>
            </w:tcBorders>
            <w:vAlign w:val="center"/>
          </w:tcPr>
          <w:p w14:paraId="2ACBA5A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c>
          <w:tcPr>
            <w:tcW w:w="1917" w:type="dxa"/>
            <w:tcBorders>
              <w:top w:val="single" w:color="auto" w:sz="12" w:space="0"/>
            </w:tcBorders>
            <w:vAlign w:val="center"/>
          </w:tcPr>
          <w:p w14:paraId="09C2F3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计入当期非经常性损益的金额</w:t>
            </w:r>
          </w:p>
        </w:tc>
      </w:tr>
      <w:tr w14:paraId="6D295E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9" w:hRule="exact"/>
        </w:trPr>
        <w:tc>
          <w:tcPr>
            <w:tcW w:w="2701" w:type="dxa"/>
            <w:vAlign w:val="center"/>
          </w:tcPr>
          <w:p w14:paraId="49D4C12C">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延期贷款奖励</w:t>
            </w:r>
          </w:p>
        </w:tc>
        <w:tc>
          <w:tcPr>
            <w:tcW w:w="1987" w:type="dxa"/>
            <w:vAlign w:val="center"/>
          </w:tcPr>
          <w:p w14:paraId="690F4144">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1,761,477.67 </w:t>
            </w:r>
          </w:p>
        </w:tc>
        <w:tc>
          <w:tcPr>
            <w:tcW w:w="1917" w:type="dxa"/>
            <w:vAlign w:val="center"/>
          </w:tcPr>
          <w:p w14:paraId="031504CC">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234,563.11 </w:t>
            </w:r>
          </w:p>
        </w:tc>
        <w:tc>
          <w:tcPr>
            <w:tcW w:w="1917" w:type="dxa"/>
            <w:vAlign w:val="center"/>
          </w:tcPr>
          <w:p w14:paraId="1900E750">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1,761,477.67 </w:t>
            </w:r>
          </w:p>
        </w:tc>
      </w:tr>
      <w:tr w14:paraId="5DA5B8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49" w:hRule="exact"/>
        </w:trPr>
        <w:tc>
          <w:tcPr>
            <w:tcW w:w="2701" w:type="dxa"/>
            <w:vAlign w:val="center"/>
          </w:tcPr>
          <w:p w14:paraId="36599294">
            <w:pPr>
              <w:keepNext w:val="0"/>
              <w:keepLines w:val="0"/>
              <w:widowControl/>
              <w:suppressLineNumbers w:val="0"/>
              <w:spacing w:before="0" w:beforeAutospacing="0" w:after="0" w:afterAutospacing="0"/>
              <w:ind w:left="0" w:right="0"/>
              <w:jc w:val="both"/>
              <w:textAlignment w:val="center"/>
              <w:rPr>
                <w:rFonts w:hint="default" w:ascii="宋体" w:hAnsi="宋体" w:cs="宋体"/>
                <w:highlight w:val="none"/>
              </w:rPr>
            </w:pPr>
            <w:r>
              <w:rPr>
                <w:rFonts w:hint="eastAsia" w:ascii="宋体" w:hAnsi="宋体" w:eastAsia="宋体" w:cs="宋体"/>
                <w:i w:val="0"/>
                <w:iCs w:val="0"/>
                <w:color w:val="000000"/>
                <w:kern w:val="0"/>
                <w:sz w:val="21"/>
                <w:szCs w:val="21"/>
                <w:highlight w:val="none"/>
                <w:u w:val="none"/>
                <w:lang w:val="en-US" w:eastAsia="zh-CN" w:bidi="ar"/>
              </w:rPr>
              <w:t>政府补助收入</w:t>
            </w:r>
          </w:p>
        </w:tc>
        <w:tc>
          <w:tcPr>
            <w:tcW w:w="1987" w:type="dxa"/>
            <w:vAlign w:val="center"/>
          </w:tcPr>
          <w:p w14:paraId="383BCE01">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27,065.40 </w:t>
            </w:r>
          </w:p>
        </w:tc>
        <w:tc>
          <w:tcPr>
            <w:tcW w:w="1917" w:type="dxa"/>
            <w:vAlign w:val="center"/>
          </w:tcPr>
          <w:p w14:paraId="7636C4E6">
            <w:pPr>
              <w:keepNext w:val="0"/>
              <w:keepLines w:val="0"/>
              <w:suppressLineNumbers w:val="0"/>
              <w:spacing w:before="0" w:beforeAutospacing="0" w:after="0" w:afterAutospacing="0"/>
              <w:ind w:left="0" w:right="0"/>
              <w:jc w:val="right"/>
              <w:rPr>
                <w:rFonts w:hint="default" w:ascii="宋体" w:hAnsi="宋体"/>
                <w:highlight w:val="none"/>
              </w:rPr>
            </w:pPr>
          </w:p>
        </w:tc>
        <w:tc>
          <w:tcPr>
            <w:tcW w:w="1917" w:type="dxa"/>
            <w:vAlign w:val="center"/>
          </w:tcPr>
          <w:p w14:paraId="27A3F3BF">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27,065.40 </w:t>
            </w:r>
          </w:p>
        </w:tc>
      </w:tr>
      <w:tr w14:paraId="3DEB80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701" w:type="dxa"/>
            <w:tcBorders>
              <w:bottom w:val="single" w:color="auto" w:sz="12" w:space="0"/>
            </w:tcBorders>
            <w:vAlign w:val="center"/>
          </w:tcPr>
          <w:p w14:paraId="7A88AC21">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1987" w:type="dxa"/>
            <w:tcBorders>
              <w:bottom w:val="single" w:color="auto" w:sz="12" w:space="0"/>
            </w:tcBorders>
            <w:vAlign w:val="center"/>
          </w:tcPr>
          <w:p w14:paraId="7E3BAC70">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1,788,543.07 </w:t>
            </w:r>
          </w:p>
        </w:tc>
        <w:tc>
          <w:tcPr>
            <w:tcW w:w="1917" w:type="dxa"/>
            <w:tcBorders>
              <w:bottom w:val="single" w:color="auto" w:sz="12" w:space="0"/>
            </w:tcBorders>
            <w:vAlign w:val="center"/>
          </w:tcPr>
          <w:p w14:paraId="44A3879D">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234,563.11 </w:t>
            </w:r>
          </w:p>
        </w:tc>
        <w:tc>
          <w:tcPr>
            <w:tcW w:w="1917" w:type="dxa"/>
            <w:tcBorders>
              <w:bottom w:val="single" w:color="auto" w:sz="12" w:space="0"/>
            </w:tcBorders>
            <w:vAlign w:val="center"/>
          </w:tcPr>
          <w:p w14:paraId="0C413CB5">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1,788,543.07 </w:t>
            </w:r>
          </w:p>
        </w:tc>
      </w:tr>
    </w:tbl>
    <w:p w14:paraId="6CDD6186">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二十二</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税金及附加</w:t>
      </w:r>
    </w:p>
    <w:tbl>
      <w:tblPr>
        <w:tblStyle w:val="22"/>
        <w:tblW w:w="5000" w:type="pct"/>
        <w:jc w:val="center"/>
        <w:tblLayout w:type="autofit"/>
        <w:tblCellMar>
          <w:top w:w="0" w:type="dxa"/>
          <w:left w:w="108" w:type="dxa"/>
          <w:bottom w:w="0" w:type="dxa"/>
          <w:right w:w="108" w:type="dxa"/>
        </w:tblCellMar>
      </w:tblPr>
      <w:tblGrid>
        <w:gridCol w:w="3490"/>
        <w:gridCol w:w="2366"/>
        <w:gridCol w:w="2666"/>
      </w:tblGrid>
      <w:tr w14:paraId="156524A1">
        <w:tblPrEx>
          <w:tblCellMar>
            <w:top w:w="0" w:type="dxa"/>
            <w:left w:w="108" w:type="dxa"/>
            <w:bottom w:w="0" w:type="dxa"/>
            <w:right w:w="108" w:type="dxa"/>
          </w:tblCellMar>
        </w:tblPrEx>
        <w:trPr>
          <w:trHeight w:val="453" w:hRule="atLeast"/>
          <w:tblHeader/>
          <w:jc w:val="center"/>
        </w:trPr>
        <w:tc>
          <w:tcPr>
            <w:tcW w:w="3490" w:type="dxa"/>
            <w:tcBorders>
              <w:top w:val="single" w:color="auto" w:sz="12" w:space="0"/>
              <w:bottom w:val="dotted" w:color="auto" w:sz="4" w:space="0"/>
              <w:right w:val="dotted" w:color="auto" w:sz="4" w:space="0"/>
            </w:tcBorders>
            <w:vAlign w:val="center"/>
          </w:tcPr>
          <w:p w14:paraId="3165CEBE">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366" w:type="dxa"/>
            <w:tcBorders>
              <w:top w:val="single" w:color="auto" w:sz="12" w:space="0"/>
              <w:left w:val="dotted" w:color="auto" w:sz="4" w:space="0"/>
              <w:bottom w:val="dotted" w:color="auto" w:sz="4" w:space="0"/>
              <w:right w:val="dotted" w:color="auto" w:sz="4" w:space="0"/>
            </w:tcBorders>
            <w:vAlign w:val="center"/>
          </w:tcPr>
          <w:p w14:paraId="09C08D01">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666" w:type="dxa"/>
            <w:tcBorders>
              <w:top w:val="single" w:color="auto" w:sz="12" w:space="0"/>
              <w:left w:val="dotted" w:color="auto" w:sz="4" w:space="0"/>
              <w:bottom w:val="dotted" w:color="auto" w:sz="4" w:space="0"/>
            </w:tcBorders>
            <w:vAlign w:val="center"/>
          </w:tcPr>
          <w:p w14:paraId="2902AAE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2E17C47D">
        <w:tblPrEx>
          <w:tblCellMar>
            <w:top w:w="0" w:type="dxa"/>
            <w:left w:w="108" w:type="dxa"/>
            <w:bottom w:w="0" w:type="dxa"/>
            <w:right w:w="108" w:type="dxa"/>
          </w:tblCellMar>
        </w:tblPrEx>
        <w:trPr>
          <w:trHeight w:val="453" w:hRule="atLeast"/>
          <w:jc w:val="center"/>
        </w:trPr>
        <w:tc>
          <w:tcPr>
            <w:tcW w:w="3490" w:type="dxa"/>
            <w:tcBorders>
              <w:top w:val="dotted" w:color="auto" w:sz="4" w:space="0"/>
              <w:bottom w:val="dotted" w:color="auto" w:sz="4" w:space="0"/>
              <w:right w:val="dotted" w:color="auto" w:sz="4" w:space="0"/>
            </w:tcBorders>
            <w:vAlign w:val="center"/>
          </w:tcPr>
          <w:p w14:paraId="78959EE3">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城市维护建设税</w:t>
            </w:r>
          </w:p>
        </w:tc>
        <w:tc>
          <w:tcPr>
            <w:tcW w:w="2366" w:type="dxa"/>
            <w:tcBorders>
              <w:top w:val="dotted" w:color="auto" w:sz="4" w:space="0"/>
              <w:left w:val="dotted" w:color="auto" w:sz="4" w:space="0"/>
              <w:bottom w:val="dotted" w:color="auto" w:sz="4" w:space="0"/>
              <w:right w:val="dotted" w:color="auto" w:sz="4" w:space="0"/>
            </w:tcBorders>
            <w:vAlign w:val="center"/>
          </w:tcPr>
          <w:p w14:paraId="5869F26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75,446.61</w:t>
            </w:r>
          </w:p>
        </w:tc>
        <w:tc>
          <w:tcPr>
            <w:tcW w:w="2666" w:type="dxa"/>
            <w:tcBorders>
              <w:top w:val="dotted" w:color="auto" w:sz="4" w:space="0"/>
              <w:left w:val="dotted" w:color="auto" w:sz="4" w:space="0"/>
              <w:bottom w:val="dotted" w:color="auto" w:sz="4" w:space="0"/>
            </w:tcBorders>
            <w:vAlign w:val="center"/>
          </w:tcPr>
          <w:p w14:paraId="4D6FADF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62,065.51</w:t>
            </w:r>
          </w:p>
        </w:tc>
      </w:tr>
      <w:tr w14:paraId="2749EC44">
        <w:tblPrEx>
          <w:tblCellMar>
            <w:top w:w="0" w:type="dxa"/>
            <w:left w:w="108" w:type="dxa"/>
            <w:bottom w:w="0" w:type="dxa"/>
            <w:right w:w="108" w:type="dxa"/>
          </w:tblCellMar>
        </w:tblPrEx>
        <w:trPr>
          <w:trHeight w:val="453" w:hRule="atLeast"/>
          <w:jc w:val="center"/>
        </w:trPr>
        <w:tc>
          <w:tcPr>
            <w:tcW w:w="3490" w:type="dxa"/>
            <w:tcBorders>
              <w:top w:val="dotted" w:color="auto" w:sz="4" w:space="0"/>
              <w:bottom w:val="dotted" w:color="auto" w:sz="4" w:space="0"/>
              <w:right w:val="dotted" w:color="auto" w:sz="4" w:space="0"/>
            </w:tcBorders>
            <w:vAlign w:val="center"/>
          </w:tcPr>
          <w:p w14:paraId="3B6A822E">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教育费附加</w:t>
            </w:r>
          </w:p>
        </w:tc>
        <w:tc>
          <w:tcPr>
            <w:tcW w:w="2366" w:type="dxa"/>
            <w:tcBorders>
              <w:top w:val="dotted" w:color="auto" w:sz="4" w:space="0"/>
              <w:left w:val="dotted" w:color="auto" w:sz="4" w:space="0"/>
              <w:bottom w:val="dotted" w:color="auto" w:sz="4" w:space="0"/>
              <w:right w:val="dotted" w:color="auto" w:sz="4" w:space="0"/>
            </w:tcBorders>
            <w:vAlign w:val="center"/>
          </w:tcPr>
          <w:p w14:paraId="1DC76656">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53,890.44</w:t>
            </w:r>
          </w:p>
        </w:tc>
        <w:tc>
          <w:tcPr>
            <w:tcW w:w="2666" w:type="dxa"/>
            <w:tcBorders>
              <w:top w:val="dotted" w:color="auto" w:sz="4" w:space="0"/>
              <w:left w:val="dotted" w:color="auto" w:sz="4" w:space="0"/>
              <w:bottom w:val="dotted" w:color="auto" w:sz="4" w:space="0"/>
            </w:tcBorders>
            <w:vAlign w:val="center"/>
          </w:tcPr>
          <w:p w14:paraId="71B5CB0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44,332.52</w:t>
            </w:r>
          </w:p>
        </w:tc>
      </w:tr>
      <w:tr w14:paraId="3290A346">
        <w:tblPrEx>
          <w:tblCellMar>
            <w:top w:w="0" w:type="dxa"/>
            <w:left w:w="108" w:type="dxa"/>
            <w:bottom w:w="0" w:type="dxa"/>
            <w:right w:w="108" w:type="dxa"/>
          </w:tblCellMar>
        </w:tblPrEx>
        <w:trPr>
          <w:trHeight w:val="453" w:hRule="atLeast"/>
          <w:jc w:val="center"/>
        </w:trPr>
        <w:tc>
          <w:tcPr>
            <w:tcW w:w="3490" w:type="dxa"/>
            <w:tcBorders>
              <w:top w:val="dotted" w:color="auto" w:sz="4" w:space="0"/>
              <w:bottom w:val="dotted" w:color="auto" w:sz="4" w:space="0"/>
              <w:right w:val="dotted" w:color="auto" w:sz="4" w:space="0"/>
            </w:tcBorders>
            <w:vAlign w:val="center"/>
          </w:tcPr>
          <w:p w14:paraId="088A73E3">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土地使用税</w:t>
            </w:r>
          </w:p>
        </w:tc>
        <w:tc>
          <w:tcPr>
            <w:tcW w:w="2366" w:type="dxa"/>
            <w:tcBorders>
              <w:top w:val="dotted" w:color="auto" w:sz="4" w:space="0"/>
              <w:left w:val="dotted" w:color="auto" w:sz="4" w:space="0"/>
              <w:bottom w:val="dotted" w:color="auto" w:sz="4" w:space="0"/>
              <w:right w:val="dotted" w:color="auto" w:sz="4" w:space="0"/>
            </w:tcBorders>
            <w:vAlign w:val="center"/>
          </w:tcPr>
          <w:p w14:paraId="03EE638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4,063.80</w:t>
            </w:r>
          </w:p>
        </w:tc>
        <w:tc>
          <w:tcPr>
            <w:tcW w:w="2666" w:type="dxa"/>
            <w:tcBorders>
              <w:top w:val="dotted" w:color="auto" w:sz="4" w:space="0"/>
              <w:left w:val="dotted" w:color="auto" w:sz="4" w:space="0"/>
              <w:bottom w:val="dotted" w:color="auto" w:sz="4" w:space="0"/>
            </w:tcBorders>
            <w:vAlign w:val="center"/>
          </w:tcPr>
          <w:p w14:paraId="164272B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5,587.18</w:t>
            </w:r>
          </w:p>
        </w:tc>
      </w:tr>
      <w:tr w14:paraId="69E68A13">
        <w:tblPrEx>
          <w:tblCellMar>
            <w:top w:w="0" w:type="dxa"/>
            <w:left w:w="108" w:type="dxa"/>
            <w:bottom w:w="0" w:type="dxa"/>
            <w:right w:w="108" w:type="dxa"/>
          </w:tblCellMar>
        </w:tblPrEx>
        <w:trPr>
          <w:trHeight w:val="453" w:hRule="atLeast"/>
          <w:jc w:val="center"/>
        </w:trPr>
        <w:tc>
          <w:tcPr>
            <w:tcW w:w="3490" w:type="dxa"/>
            <w:tcBorders>
              <w:top w:val="dotted" w:color="auto" w:sz="4" w:space="0"/>
              <w:bottom w:val="dotted" w:color="auto" w:sz="4" w:space="0"/>
              <w:right w:val="dotted" w:color="auto" w:sz="4" w:space="0"/>
            </w:tcBorders>
            <w:vAlign w:val="center"/>
          </w:tcPr>
          <w:p w14:paraId="58E55AE7">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其他税费</w:t>
            </w:r>
          </w:p>
        </w:tc>
        <w:tc>
          <w:tcPr>
            <w:tcW w:w="2366" w:type="dxa"/>
            <w:tcBorders>
              <w:top w:val="dotted" w:color="auto" w:sz="4" w:space="0"/>
              <w:left w:val="dotted" w:color="auto" w:sz="4" w:space="0"/>
              <w:bottom w:val="dotted" w:color="auto" w:sz="4" w:space="0"/>
              <w:right w:val="dotted" w:color="auto" w:sz="4" w:space="0"/>
            </w:tcBorders>
            <w:vAlign w:val="center"/>
          </w:tcPr>
          <w:p w14:paraId="05B67B9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38,993.25</w:t>
            </w:r>
          </w:p>
        </w:tc>
        <w:tc>
          <w:tcPr>
            <w:tcW w:w="2666" w:type="dxa"/>
            <w:tcBorders>
              <w:top w:val="dotted" w:color="auto" w:sz="4" w:space="0"/>
              <w:left w:val="dotted" w:color="auto" w:sz="4" w:space="0"/>
              <w:bottom w:val="dotted" w:color="auto" w:sz="4" w:space="0"/>
            </w:tcBorders>
            <w:vAlign w:val="center"/>
          </w:tcPr>
          <w:p w14:paraId="2AFF978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28,310.61</w:t>
            </w:r>
          </w:p>
        </w:tc>
      </w:tr>
      <w:tr w14:paraId="2EFBBDB4">
        <w:tblPrEx>
          <w:tblCellMar>
            <w:top w:w="0" w:type="dxa"/>
            <w:left w:w="108" w:type="dxa"/>
            <w:bottom w:w="0" w:type="dxa"/>
            <w:right w:w="108" w:type="dxa"/>
          </w:tblCellMar>
        </w:tblPrEx>
        <w:trPr>
          <w:trHeight w:val="453" w:hRule="atLeast"/>
          <w:jc w:val="center"/>
        </w:trPr>
        <w:tc>
          <w:tcPr>
            <w:tcW w:w="3490" w:type="dxa"/>
            <w:tcBorders>
              <w:top w:val="dotted" w:color="auto" w:sz="4" w:space="0"/>
              <w:bottom w:val="single" w:color="auto" w:sz="12" w:space="0"/>
              <w:right w:val="dotted" w:color="auto" w:sz="4" w:space="0"/>
            </w:tcBorders>
            <w:vAlign w:val="center"/>
          </w:tcPr>
          <w:p w14:paraId="4B8D2974">
            <w:pPr>
              <w:keepNext w:val="0"/>
              <w:keepLines w:val="0"/>
              <w:widowControl/>
              <w:suppressLineNumbers w:val="0"/>
              <w:spacing w:before="0" w:beforeAutospacing="0" w:after="0" w:afterAutospacing="0"/>
              <w:ind w:left="0" w:right="0"/>
              <w:jc w:val="center"/>
              <w:textAlignment w:val="center"/>
              <w:rPr>
                <w:rFonts w:hint="default" w:ascii="宋体" w:hAnsi="宋体"/>
                <w:b/>
                <w:bCs/>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366" w:type="dxa"/>
            <w:tcBorders>
              <w:top w:val="dotted" w:color="auto" w:sz="4" w:space="0"/>
              <w:left w:val="dotted" w:color="auto" w:sz="4" w:space="0"/>
              <w:bottom w:val="single" w:color="auto" w:sz="12" w:space="0"/>
              <w:right w:val="dotted" w:color="auto" w:sz="4" w:space="0"/>
            </w:tcBorders>
            <w:vAlign w:val="center"/>
          </w:tcPr>
          <w:p w14:paraId="4018D41B">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172,394.10</w:t>
            </w:r>
          </w:p>
        </w:tc>
        <w:tc>
          <w:tcPr>
            <w:tcW w:w="2666" w:type="dxa"/>
            <w:tcBorders>
              <w:top w:val="dotted" w:color="auto" w:sz="4" w:space="0"/>
              <w:left w:val="dotted" w:color="auto" w:sz="4" w:space="0"/>
              <w:bottom w:val="single" w:color="auto" w:sz="12" w:space="0"/>
            </w:tcBorders>
            <w:vAlign w:val="center"/>
          </w:tcPr>
          <w:p w14:paraId="1FFD4A4E">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140,295.82</w:t>
            </w:r>
          </w:p>
        </w:tc>
      </w:tr>
    </w:tbl>
    <w:p w14:paraId="3C452DB5">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二十三</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业务及管理费</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90"/>
        <w:gridCol w:w="2366"/>
        <w:gridCol w:w="2666"/>
      </w:tblGrid>
      <w:tr w14:paraId="32250C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490" w:type="dxa"/>
            <w:tcBorders>
              <w:top w:val="single" w:color="auto" w:sz="12" w:space="0"/>
            </w:tcBorders>
            <w:vAlign w:val="center"/>
          </w:tcPr>
          <w:p w14:paraId="30949FA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366" w:type="dxa"/>
            <w:tcBorders>
              <w:top w:val="single" w:color="auto" w:sz="12" w:space="0"/>
            </w:tcBorders>
            <w:vAlign w:val="center"/>
          </w:tcPr>
          <w:p w14:paraId="15DE1308">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666" w:type="dxa"/>
            <w:tcBorders>
              <w:top w:val="single" w:color="auto" w:sz="12" w:space="0"/>
            </w:tcBorders>
            <w:vAlign w:val="center"/>
          </w:tcPr>
          <w:p w14:paraId="4DA33338">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4F4187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90" w:type="dxa"/>
            <w:vAlign w:val="center"/>
          </w:tcPr>
          <w:p w14:paraId="054D1A7C">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职工薪酬</w:t>
            </w:r>
          </w:p>
        </w:tc>
        <w:tc>
          <w:tcPr>
            <w:tcW w:w="2366" w:type="dxa"/>
            <w:vAlign w:val="center"/>
          </w:tcPr>
          <w:p w14:paraId="138856EA">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12,717,327.24</w:t>
            </w:r>
          </w:p>
        </w:tc>
        <w:tc>
          <w:tcPr>
            <w:tcW w:w="2666" w:type="dxa"/>
            <w:vAlign w:val="center"/>
          </w:tcPr>
          <w:p w14:paraId="233C91DB">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11,860,551.83</w:t>
            </w:r>
          </w:p>
        </w:tc>
      </w:tr>
      <w:tr w14:paraId="1A4661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90" w:type="dxa"/>
            <w:vAlign w:val="center"/>
          </w:tcPr>
          <w:p w14:paraId="48896358">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业务费用</w:t>
            </w:r>
          </w:p>
        </w:tc>
        <w:tc>
          <w:tcPr>
            <w:tcW w:w="2366" w:type="dxa"/>
            <w:vAlign w:val="center"/>
          </w:tcPr>
          <w:p w14:paraId="307BCAE2">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1,928,404.28</w:t>
            </w:r>
          </w:p>
        </w:tc>
        <w:tc>
          <w:tcPr>
            <w:tcW w:w="2666" w:type="dxa"/>
            <w:vAlign w:val="center"/>
          </w:tcPr>
          <w:p w14:paraId="0FFFDC8A">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1,315,283.73</w:t>
            </w:r>
          </w:p>
        </w:tc>
      </w:tr>
      <w:tr w14:paraId="1EC11B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90" w:type="dxa"/>
            <w:vAlign w:val="center"/>
          </w:tcPr>
          <w:p w14:paraId="31338AF2">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管理费用</w:t>
            </w:r>
          </w:p>
        </w:tc>
        <w:tc>
          <w:tcPr>
            <w:tcW w:w="2366" w:type="dxa"/>
            <w:vAlign w:val="center"/>
          </w:tcPr>
          <w:p w14:paraId="50CD30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5,070,503.61</w:t>
            </w:r>
          </w:p>
        </w:tc>
        <w:tc>
          <w:tcPr>
            <w:tcW w:w="2666" w:type="dxa"/>
            <w:vAlign w:val="center"/>
          </w:tcPr>
          <w:p w14:paraId="70CAB0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7,615,484.43</w:t>
            </w:r>
          </w:p>
        </w:tc>
      </w:tr>
      <w:tr w14:paraId="746AC4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90" w:type="dxa"/>
            <w:vAlign w:val="center"/>
          </w:tcPr>
          <w:p w14:paraId="5223FEC6">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固定资产折旧费</w:t>
            </w:r>
          </w:p>
        </w:tc>
        <w:tc>
          <w:tcPr>
            <w:tcW w:w="2366" w:type="dxa"/>
            <w:vAlign w:val="center"/>
          </w:tcPr>
          <w:p w14:paraId="4DD0876A">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591,505.06</w:t>
            </w:r>
          </w:p>
        </w:tc>
        <w:tc>
          <w:tcPr>
            <w:tcW w:w="2666" w:type="dxa"/>
            <w:vAlign w:val="center"/>
          </w:tcPr>
          <w:p w14:paraId="4ADFC88E">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709,583.63</w:t>
            </w:r>
          </w:p>
        </w:tc>
      </w:tr>
      <w:tr w14:paraId="10E736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490" w:type="dxa"/>
            <w:tcBorders>
              <w:bottom w:val="single" w:color="auto" w:sz="12" w:space="0"/>
            </w:tcBorders>
            <w:vAlign w:val="center"/>
          </w:tcPr>
          <w:p w14:paraId="4EE206A1">
            <w:pPr>
              <w:keepNext w:val="0"/>
              <w:keepLines w:val="0"/>
              <w:widowControl/>
              <w:suppressLineNumbers w:val="0"/>
              <w:spacing w:before="0" w:beforeAutospacing="0" w:after="0" w:afterAutospacing="0"/>
              <w:ind w:left="0" w:right="0"/>
              <w:jc w:val="center"/>
              <w:textAlignment w:val="center"/>
              <w:rPr>
                <w:rFonts w:hint="default" w:ascii="宋体" w:hAnsi="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366" w:type="dxa"/>
            <w:tcBorders>
              <w:bottom w:val="single" w:color="auto" w:sz="12" w:space="0"/>
            </w:tcBorders>
            <w:vAlign w:val="center"/>
          </w:tcPr>
          <w:p w14:paraId="1BD5B9C6">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20,307,740.19</w:t>
            </w:r>
          </w:p>
        </w:tc>
        <w:tc>
          <w:tcPr>
            <w:tcW w:w="2666" w:type="dxa"/>
            <w:tcBorders>
              <w:bottom w:val="single" w:color="auto" w:sz="12" w:space="0"/>
            </w:tcBorders>
            <w:vAlign w:val="center"/>
          </w:tcPr>
          <w:p w14:paraId="2B3B166B">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21,500,903.62</w:t>
            </w:r>
          </w:p>
        </w:tc>
      </w:tr>
    </w:tbl>
    <w:p w14:paraId="6EDB0FC0">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二十四</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信用减值损失</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092"/>
        <w:gridCol w:w="2713"/>
        <w:gridCol w:w="2714"/>
      </w:tblGrid>
      <w:tr w14:paraId="467A15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26" w:hRule="atLeast"/>
          <w:tblHeader/>
          <w:jc w:val="center"/>
        </w:trPr>
        <w:tc>
          <w:tcPr>
            <w:tcW w:w="3092" w:type="dxa"/>
            <w:tcBorders>
              <w:top w:val="single" w:color="auto" w:sz="12" w:space="0"/>
            </w:tcBorders>
            <w:vAlign w:val="center"/>
          </w:tcPr>
          <w:p w14:paraId="1C1D6004">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713" w:type="dxa"/>
            <w:tcBorders>
              <w:top w:val="single" w:color="auto" w:sz="12" w:space="0"/>
            </w:tcBorders>
            <w:vAlign w:val="center"/>
          </w:tcPr>
          <w:p w14:paraId="472EBEFF">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714" w:type="dxa"/>
            <w:tcBorders>
              <w:top w:val="single" w:color="auto" w:sz="12" w:space="0"/>
            </w:tcBorders>
            <w:vAlign w:val="center"/>
          </w:tcPr>
          <w:p w14:paraId="4FEFFF2A">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7955FA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4" w:hRule="atLeast"/>
          <w:jc w:val="center"/>
        </w:trPr>
        <w:tc>
          <w:tcPr>
            <w:tcW w:w="3092" w:type="dxa"/>
            <w:vAlign w:val="center"/>
          </w:tcPr>
          <w:p w14:paraId="6E3EA37C">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计提贷款损失准备</w:t>
            </w:r>
          </w:p>
        </w:tc>
        <w:tc>
          <w:tcPr>
            <w:tcW w:w="2713" w:type="dxa"/>
            <w:vAlign w:val="center"/>
          </w:tcPr>
          <w:p w14:paraId="4BFA8121">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24,479,070.64 </w:t>
            </w:r>
          </w:p>
        </w:tc>
        <w:tc>
          <w:tcPr>
            <w:tcW w:w="2714" w:type="dxa"/>
            <w:vAlign w:val="center"/>
          </w:tcPr>
          <w:p w14:paraId="09FB5310">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3,212,516.21 </w:t>
            </w:r>
          </w:p>
        </w:tc>
      </w:tr>
      <w:tr w14:paraId="26ED76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4" w:hRule="atLeast"/>
          <w:jc w:val="center"/>
        </w:trPr>
        <w:tc>
          <w:tcPr>
            <w:tcW w:w="3092" w:type="dxa"/>
            <w:vAlign w:val="center"/>
          </w:tcPr>
          <w:p w14:paraId="0BFDDF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计提坏账准备</w:t>
            </w:r>
          </w:p>
        </w:tc>
        <w:tc>
          <w:tcPr>
            <w:tcW w:w="2713" w:type="dxa"/>
            <w:vAlign w:val="center"/>
          </w:tcPr>
          <w:p w14:paraId="328EA6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kern w:val="0"/>
                <w:sz w:val="21"/>
                <w:szCs w:val="21"/>
                <w:highlight w:val="none"/>
                <w:u w:val="none"/>
                <w:lang w:val="en-US" w:eastAsia="zh-CN" w:bidi="ar"/>
              </w:rPr>
            </w:pPr>
          </w:p>
        </w:tc>
        <w:tc>
          <w:tcPr>
            <w:tcW w:w="2714" w:type="dxa"/>
            <w:vAlign w:val="center"/>
          </w:tcPr>
          <w:p w14:paraId="40C93D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1,571.60 </w:t>
            </w:r>
          </w:p>
        </w:tc>
      </w:tr>
      <w:tr w14:paraId="41B388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4" w:hRule="atLeast"/>
          <w:jc w:val="center"/>
        </w:trPr>
        <w:tc>
          <w:tcPr>
            <w:tcW w:w="3092" w:type="dxa"/>
            <w:tcBorders>
              <w:bottom w:val="single" w:color="auto" w:sz="12" w:space="0"/>
            </w:tcBorders>
            <w:vAlign w:val="center"/>
          </w:tcPr>
          <w:p w14:paraId="68293A20">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713" w:type="dxa"/>
            <w:tcBorders>
              <w:bottom w:val="single" w:color="auto" w:sz="12" w:space="0"/>
            </w:tcBorders>
            <w:vAlign w:val="center"/>
          </w:tcPr>
          <w:p w14:paraId="6DBC5D1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24,479,070.64 </w:t>
            </w:r>
          </w:p>
        </w:tc>
        <w:tc>
          <w:tcPr>
            <w:tcW w:w="2714" w:type="dxa"/>
            <w:tcBorders>
              <w:bottom w:val="single" w:color="auto" w:sz="12" w:space="0"/>
            </w:tcBorders>
            <w:vAlign w:val="center"/>
          </w:tcPr>
          <w:p w14:paraId="1BBA6AC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3,214,087.81 </w:t>
            </w:r>
          </w:p>
        </w:tc>
      </w:tr>
    </w:tbl>
    <w:p w14:paraId="1247971D">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二十五</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营业外收入</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868"/>
        <w:gridCol w:w="2327"/>
        <w:gridCol w:w="2327"/>
      </w:tblGrid>
      <w:tr w14:paraId="769179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7" w:hRule="atLeast"/>
          <w:tblHeader/>
          <w:jc w:val="center"/>
        </w:trPr>
        <w:tc>
          <w:tcPr>
            <w:tcW w:w="3868" w:type="dxa"/>
            <w:tcBorders>
              <w:top w:val="single" w:color="auto" w:sz="12" w:space="0"/>
            </w:tcBorders>
            <w:vAlign w:val="center"/>
          </w:tcPr>
          <w:p w14:paraId="79304CE1">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327" w:type="dxa"/>
            <w:tcBorders>
              <w:top w:val="single" w:color="auto" w:sz="12" w:space="0"/>
            </w:tcBorders>
            <w:vAlign w:val="center"/>
          </w:tcPr>
          <w:p w14:paraId="1DBE9515">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327" w:type="dxa"/>
            <w:tcBorders>
              <w:top w:val="single" w:color="auto" w:sz="12" w:space="0"/>
            </w:tcBorders>
            <w:vAlign w:val="center"/>
          </w:tcPr>
          <w:p w14:paraId="260F99EB">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716A5D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7" w:hRule="atLeast"/>
          <w:jc w:val="center"/>
        </w:trPr>
        <w:tc>
          <w:tcPr>
            <w:tcW w:w="3868" w:type="dxa"/>
            <w:vAlign w:val="center"/>
          </w:tcPr>
          <w:p w14:paraId="428578AE">
            <w:pPr>
              <w:keepNext w:val="0"/>
              <w:keepLines w:val="0"/>
              <w:widowControl/>
              <w:suppressLineNumbers w:val="0"/>
              <w:spacing w:before="0" w:beforeAutospacing="0" w:after="0" w:afterAutospacing="0"/>
              <w:ind w:left="0" w:right="0"/>
              <w:jc w:val="both"/>
              <w:textAlignment w:val="center"/>
              <w:rPr>
                <w:rFonts w:hint="default"/>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挂牌补贴</w:t>
            </w:r>
          </w:p>
        </w:tc>
        <w:tc>
          <w:tcPr>
            <w:tcW w:w="2327" w:type="dxa"/>
            <w:vAlign w:val="center"/>
          </w:tcPr>
          <w:p w14:paraId="10864F56">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327" w:type="dxa"/>
            <w:vAlign w:val="center"/>
          </w:tcPr>
          <w:p w14:paraId="78A9A26E">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lang w:val="en-US"/>
              </w:rPr>
            </w:pPr>
          </w:p>
        </w:tc>
      </w:tr>
      <w:tr w14:paraId="015AED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7" w:hRule="atLeast"/>
          <w:jc w:val="center"/>
        </w:trPr>
        <w:tc>
          <w:tcPr>
            <w:tcW w:w="3868" w:type="dxa"/>
            <w:vAlign w:val="center"/>
          </w:tcPr>
          <w:p w14:paraId="34EA52AA">
            <w:pPr>
              <w:keepNext w:val="0"/>
              <w:keepLines w:val="0"/>
              <w:widowControl/>
              <w:suppressLineNumbers w:val="0"/>
              <w:spacing w:before="0" w:beforeAutospacing="0" w:after="0" w:afterAutospacing="0"/>
              <w:ind w:left="0" w:right="0"/>
              <w:jc w:val="both"/>
              <w:textAlignment w:val="center"/>
              <w:rPr>
                <w:rFonts w:hint="default"/>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其他营业外收入</w:t>
            </w:r>
          </w:p>
        </w:tc>
        <w:tc>
          <w:tcPr>
            <w:tcW w:w="2327" w:type="dxa"/>
            <w:vAlign w:val="center"/>
          </w:tcPr>
          <w:p w14:paraId="2E0FA9F1">
            <w:pPr>
              <w:keepNext w:val="0"/>
              <w:keepLines w:val="0"/>
              <w:widowControl/>
              <w:suppressLineNumbers w:val="0"/>
              <w:spacing w:before="0" w:beforeAutospacing="0" w:after="0" w:afterAutospacing="0"/>
              <w:ind w:left="0" w:right="0"/>
              <w:jc w:val="righ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237,618.67</w:t>
            </w:r>
          </w:p>
        </w:tc>
        <w:tc>
          <w:tcPr>
            <w:tcW w:w="2327" w:type="dxa"/>
            <w:vAlign w:val="center"/>
          </w:tcPr>
          <w:p w14:paraId="09A549D9">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810713.02</w:t>
            </w:r>
          </w:p>
        </w:tc>
      </w:tr>
      <w:tr w14:paraId="3D2A9D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37" w:hRule="atLeast"/>
          <w:jc w:val="center"/>
        </w:trPr>
        <w:tc>
          <w:tcPr>
            <w:tcW w:w="3868" w:type="dxa"/>
            <w:tcBorders>
              <w:bottom w:val="single" w:color="auto" w:sz="12" w:space="0"/>
            </w:tcBorders>
            <w:vAlign w:val="center"/>
          </w:tcPr>
          <w:p w14:paraId="766B5194">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327" w:type="dxa"/>
            <w:tcBorders>
              <w:bottom w:val="single" w:color="auto" w:sz="12" w:space="0"/>
            </w:tcBorders>
            <w:vAlign w:val="center"/>
          </w:tcPr>
          <w:p w14:paraId="1ED4F438">
            <w:pPr>
              <w:keepNext w:val="0"/>
              <w:keepLines w:val="0"/>
              <w:widowControl/>
              <w:suppressLineNumbers w:val="0"/>
              <w:spacing w:before="0" w:beforeAutospacing="0" w:after="0" w:afterAutospacing="0"/>
              <w:ind w:left="0" w:right="0"/>
              <w:jc w:val="righ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237,618.67</w:t>
            </w:r>
          </w:p>
        </w:tc>
        <w:tc>
          <w:tcPr>
            <w:tcW w:w="2327" w:type="dxa"/>
            <w:tcBorders>
              <w:bottom w:val="single" w:color="auto" w:sz="12" w:space="0"/>
            </w:tcBorders>
            <w:vAlign w:val="center"/>
          </w:tcPr>
          <w:p w14:paraId="6C5510F4">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810,713.02</w:t>
            </w:r>
          </w:p>
        </w:tc>
      </w:tr>
    </w:tbl>
    <w:p w14:paraId="70156F72">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二十六</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营业外支出</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55"/>
        <w:gridCol w:w="2487"/>
        <w:gridCol w:w="2780"/>
      </w:tblGrid>
      <w:tr w14:paraId="7640F4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255" w:type="dxa"/>
            <w:tcBorders>
              <w:top w:val="single" w:color="auto" w:sz="12" w:space="0"/>
            </w:tcBorders>
            <w:vAlign w:val="center"/>
          </w:tcPr>
          <w:p w14:paraId="5FD9B7E4">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487" w:type="dxa"/>
            <w:tcBorders>
              <w:top w:val="single" w:color="auto" w:sz="12" w:space="0"/>
            </w:tcBorders>
            <w:vAlign w:val="center"/>
          </w:tcPr>
          <w:p w14:paraId="4FE36DCF">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780" w:type="dxa"/>
            <w:tcBorders>
              <w:top w:val="single" w:color="auto" w:sz="12" w:space="0"/>
            </w:tcBorders>
            <w:vAlign w:val="center"/>
          </w:tcPr>
          <w:p w14:paraId="6B67776A">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713B76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255" w:type="dxa"/>
            <w:vAlign w:val="center"/>
          </w:tcPr>
          <w:p w14:paraId="6ACF374B">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其他营业外支出</w:t>
            </w:r>
          </w:p>
        </w:tc>
        <w:tc>
          <w:tcPr>
            <w:tcW w:w="2487" w:type="dxa"/>
            <w:vAlign w:val="center"/>
          </w:tcPr>
          <w:p w14:paraId="4C1FE1C3">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106,307.64 </w:t>
            </w:r>
          </w:p>
        </w:tc>
        <w:tc>
          <w:tcPr>
            <w:tcW w:w="2780" w:type="dxa"/>
            <w:vAlign w:val="center"/>
          </w:tcPr>
          <w:p w14:paraId="18F1A6F8">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266.48 </w:t>
            </w:r>
          </w:p>
        </w:tc>
      </w:tr>
      <w:tr w14:paraId="7C3FC9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255" w:type="dxa"/>
            <w:tcBorders>
              <w:bottom w:val="single" w:color="auto" w:sz="12" w:space="0"/>
            </w:tcBorders>
            <w:vAlign w:val="center"/>
          </w:tcPr>
          <w:p w14:paraId="38CE3E10">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487" w:type="dxa"/>
            <w:tcBorders>
              <w:bottom w:val="single" w:color="auto" w:sz="12" w:space="0"/>
            </w:tcBorders>
            <w:vAlign w:val="center"/>
          </w:tcPr>
          <w:p w14:paraId="75AE333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106,307.64 </w:t>
            </w:r>
          </w:p>
        </w:tc>
        <w:tc>
          <w:tcPr>
            <w:tcW w:w="2780" w:type="dxa"/>
            <w:tcBorders>
              <w:bottom w:val="single" w:color="auto" w:sz="12" w:space="0"/>
            </w:tcBorders>
            <w:vAlign w:val="center"/>
          </w:tcPr>
          <w:p w14:paraId="03B7E0EA">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266.48 </w:t>
            </w:r>
          </w:p>
        </w:tc>
      </w:tr>
    </w:tbl>
    <w:p w14:paraId="0A2BA1BE">
      <w:pPr>
        <w:pStyle w:val="35"/>
        <w:spacing w:line="20" w:lineRule="exact"/>
        <w:rPr>
          <w:rFonts w:ascii="宋体" w:hAnsi="宋体" w:eastAsia="宋体" w:cs="Times New Roman"/>
          <w:highlight w:val="none"/>
        </w:rPr>
      </w:pPr>
    </w:p>
    <w:p w14:paraId="21C5AF23">
      <w:pPr>
        <w:pStyle w:val="35"/>
        <w:spacing w:line="20" w:lineRule="exact"/>
        <w:rPr>
          <w:rFonts w:ascii="宋体" w:hAnsi="宋体" w:eastAsia="宋体" w:cs="Times New Roman"/>
          <w:highlight w:val="none"/>
        </w:rPr>
      </w:pPr>
    </w:p>
    <w:p w14:paraId="59436F3F">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二十七</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所得税费用</w:t>
      </w:r>
    </w:p>
    <w:tbl>
      <w:tblPr>
        <w:tblStyle w:val="22"/>
        <w:tblW w:w="0" w:type="auto"/>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904"/>
        <w:gridCol w:w="2810"/>
        <w:gridCol w:w="2783"/>
      </w:tblGrid>
      <w:tr w14:paraId="7EC114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2904" w:type="dxa"/>
            <w:tcBorders>
              <w:top w:val="single" w:color="auto" w:sz="12" w:space="0"/>
            </w:tcBorders>
            <w:vAlign w:val="center"/>
          </w:tcPr>
          <w:p w14:paraId="0206404E">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810" w:type="dxa"/>
            <w:tcBorders>
              <w:top w:val="single" w:color="auto" w:sz="12" w:space="0"/>
            </w:tcBorders>
            <w:vAlign w:val="center"/>
          </w:tcPr>
          <w:p w14:paraId="0B12261C">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783" w:type="dxa"/>
            <w:tcBorders>
              <w:top w:val="single" w:color="auto" w:sz="12" w:space="0"/>
            </w:tcBorders>
            <w:vAlign w:val="center"/>
          </w:tcPr>
          <w:p w14:paraId="06DB933B">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2D7316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904" w:type="dxa"/>
            <w:vAlign w:val="center"/>
          </w:tcPr>
          <w:p w14:paraId="070EE44A">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当期所得税</w:t>
            </w:r>
          </w:p>
        </w:tc>
        <w:tc>
          <w:tcPr>
            <w:tcW w:w="2810" w:type="dxa"/>
            <w:vAlign w:val="center"/>
          </w:tcPr>
          <w:p w14:paraId="5F6BEC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10,638,002.05</w:t>
            </w:r>
          </w:p>
        </w:tc>
        <w:tc>
          <w:tcPr>
            <w:tcW w:w="2783" w:type="dxa"/>
            <w:vAlign w:val="center"/>
          </w:tcPr>
          <w:p w14:paraId="45D373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6,879,645.45</w:t>
            </w:r>
          </w:p>
        </w:tc>
      </w:tr>
      <w:tr w14:paraId="7BBB19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904" w:type="dxa"/>
            <w:vAlign w:val="center"/>
          </w:tcPr>
          <w:p w14:paraId="089EE32C">
            <w:pPr>
              <w:keepNext w:val="0"/>
              <w:keepLines w:val="0"/>
              <w:widowControl/>
              <w:suppressLineNumbers w:val="0"/>
              <w:spacing w:before="0" w:beforeAutospacing="0" w:after="0" w:afterAutospacing="0"/>
              <w:ind w:left="0" w:right="0"/>
              <w:jc w:val="both"/>
              <w:textAlignment w:val="center"/>
              <w:rPr>
                <w:rFonts w:hint="default" w:ascii="宋体" w:hAnsi="宋体" w:cs="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递延所得税</w:t>
            </w:r>
          </w:p>
        </w:tc>
        <w:tc>
          <w:tcPr>
            <w:tcW w:w="2810" w:type="dxa"/>
            <w:vAlign w:val="center"/>
          </w:tcPr>
          <w:p w14:paraId="3484597C">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-6,604,640.32</w:t>
            </w:r>
          </w:p>
        </w:tc>
        <w:tc>
          <w:tcPr>
            <w:tcW w:w="2783" w:type="dxa"/>
            <w:vAlign w:val="center"/>
          </w:tcPr>
          <w:p w14:paraId="6922BE46">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-2,948,953.50</w:t>
            </w:r>
          </w:p>
        </w:tc>
      </w:tr>
      <w:tr w14:paraId="6A6F2F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2904" w:type="dxa"/>
            <w:tcBorders>
              <w:bottom w:val="single" w:color="auto" w:sz="12" w:space="0"/>
            </w:tcBorders>
            <w:vAlign w:val="center"/>
          </w:tcPr>
          <w:p w14:paraId="7FCF57A7">
            <w:pPr>
              <w:keepNext w:val="0"/>
              <w:keepLines w:val="0"/>
              <w:widowControl/>
              <w:suppressLineNumbers w:val="0"/>
              <w:spacing w:before="0" w:beforeAutospacing="0" w:after="0" w:afterAutospacing="0"/>
              <w:ind w:left="0" w:right="0"/>
              <w:jc w:val="center"/>
              <w:textAlignment w:val="center"/>
              <w:rPr>
                <w:rFonts w:hint="default" w:ascii="宋体" w:hAnsi="宋体"/>
                <w:b/>
                <w:color w:val="000000"/>
                <w:sz w:val="20"/>
                <w:szCs w:val="20"/>
                <w:highlight w:val="none"/>
              </w:rPr>
            </w:pPr>
            <w:bookmarkStart w:id="14" w:name="OLE_LINK8" w:colFirst="1" w:colLast="3"/>
            <w:r>
              <w:rPr>
                <w:rFonts w:hint="eastAsia" w:ascii="宋体" w:hAnsi="宋体" w:eastAsia="宋体" w:cs="宋体"/>
                <w:b/>
                <w:bCs/>
                <w:i w:val="0"/>
                <w:iCs w:val="0"/>
                <w:color w:val="000000"/>
                <w:kern w:val="0"/>
                <w:sz w:val="22"/>
                <w:szCs w:val="22"/>
                <w:highlight w:val="none"/>
                <w:u w:val="none"/>
                <w:lang w:val="en-US" w:eastAsia="zh-CN" w:bidi="ar"/>
              </w:rPr>
              <w:t>合 计</w:t>
            </w:r>
          </w:p>
        </w:tc>
        <w:tc>
          <w:tcPr>
            <w:tcW w:w="2810" w:type="dxa"/>
            <w:tcBorders>
              <w:bottom w:val="single" w:color="auto" w:sz="12" w:space="0"/>
            </w:tcBorders>
            <w:vAlign w:val="center"/>
          </w:tcPr>
          <w:p w14:paraId="306701F7">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4,033,361.73</w:t>
            </w:r>
          </w:p>
        </w:tc>
        <w:tc>
          <w:tcPr>
            <w:tcW w:w="2783" w:type="dxa"/>
            <w:tcBorders>
              <w:bottom w:val="single" w:color="auto" w:sz="12" w:space="0"/>
            </w:tcBorders>
            <w:vAlign w:val="center"/>
          </w:tcPr>
          <w:p w14:paraId="41CD6C99">
            <w:pPr>
              <w:keepNext w:val="0"/>
              <w:keepLines w:val="0"/>
              <w:widowControl/>
              <w:suppressLineNumbers w:val="0"/>
              <w:spacing w:before="0" w:beforeAutospacing="0" w:after="0" w:afterAutospacing="0"/>
              <w:ind w:left="0" w:right="0"/>
              <w:jc w:val="right"/>
              <w:textAlignment w:val="center"/>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3,930,691.95</w:t>
            </w:r>
          </w:p>
        </w:tc>
      </w:tr>
      <w:bookmarkEnd w:id="14"/>
    </w:tbl>
    <w:p w14:paraId="449BD9F0">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二十八</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现金流量表补充资料</w:t>
      </w:r>
    </w:p>
    <w:p w14:paraId="177D32EA">
      <w:pPr>
        <w:spacing w:line="480" w:lineRule="exact"/>
        <w:ind w:firstLine="480" w:firstLineChars="200"/>
        <w:jc w:val="left"/>
        <w:rPr>
          <w:rFonts w:ascii="宋体" w:hAnsi="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将净利润调节为经营活动的现金流量</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398"/>
        <w:gridCol w:w="2017"/>
        <w:gridCol w:w="2107"/>
      </w:tblGrid>
      <w:tr w14:paraId="4905B3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tblHeader/>
          <w:jc w:val="center"/>
        </w:trPr>
        <w:tc>
          <w:tcPr>
            <w:tcW w:w="4398" w:type="dxa"/>
            <w:tcBorders>
              <w:top w:val="single" w:color="auto" w:sz="12" w:space="0"/>
            </w:tcBorders>
            <w:vAlign w:val="bottom"/>
          </w:tcPr>
          <w:p w14:paraId="2CDB046E">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017" w:type="dxa"/>
            <w:tcBorders>
              <w:top w:val="single" w:color="auto" w:sz="12" w:space="0"/>
            </w:tcBorders>
            <w:vAlign w:val="bottom"/>
          </w:tcPr>
          <w:p w14:paraId="623F126B">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107" w:type="dxa"/>
            <w:tcBorders>
              <w:top w:val="single" w:color="auto" w:sz="12" w:space="0"/>
            </w:tcBorders>
            <w:vAlign w:val="bottom"/>
          </w:tcPr>
          <w:p w14:paraId="441EEA54">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0F736B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75907764">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bookmarkStart w:id="15" w:name="OLE_LINK6" w:colFirst="3" w:colLast="3"/>
            <w:r>
              <w:rPr>
                <w:rFonts w:hint="eastAsia" w:ascii="宋体" w:hAnsi="宋体" w:eastAsia="宋体" w:cs="宋体"/>
                <w:i w:val="0"/>
                <w:iCs w:val="0"/>
                <w:color w:val="000000"/>
                <w:kern w:val="0"/>
                <w:sz w:val="21"/>
                <w:szCs w:val="21"/>
                <w:highlight w:val="none"/>
                <w:u w:val="none"/>
                <w:lang w:val="en-US" w:eastAsia="zh-CN" w:bidi="ar"/>
              </w:rPr>
              <w:t>净利润</w:t>
            </w:r>
          </w:p>
        </w:tc>
        <w:tc>
          <w:tcPr>
            <w:tcW w:w="2017" w:type="dxa"/>
            <w:vAlign w:val="bottom"/>
          </w:tcPr>
          <w:p w14:paraId="2B6012E1">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9,540,771.91</w:t>
            </w:r>
          </w:p>
        </w:tc>
        <w:tc>
          <w:tcPr>
            <w:tcW w:w="2107" w:type="dxa"/>
            <w:vAlign w:val="bottom"/>
          </w:tcPr>
          <w:p w14:paraId="3C3C139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21,534,153.74</w:t>
            </w:r>
          </w:p>
        </w:tc>
      </w:tr>
      <w:tr w14:paraId="3E43C3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78966D39">
            <w:pPr>
              <w:keepNext w:val="0"/>
              <w:keepLines w:val="0"/>
              <w:widowControl/>
              <w:suppressLineNumbers w:val="0"/>
              <w:spacing w:before="0" w:beforeAutospacing="0" w:after="0" w:afterAutospacing="0"/>
              <w:ind w:left="0" w:right="0"/>
              <w:jc w:val="left"/>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加：资产减值准备</w:t>
            </w:r>
          </w:p>
        </w:tc>
        <w:tc>
          <w:tcPr>
            <w:tcW w:w="2017" w:type="dxa"/>
            <w:vAlign w:val="bottom"/>
          </w:tcPr>
          <w:p w14:paraId="7DE020F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24,479,070.64</w:t>
            </w:r>
          </w:p>
        </w:tc>
        <w:tc>
          <w:tcPr>
            <w:tcW w:w="2107" w:type="dxa"/>
            <w:vAlign w:val="bottom"/>
          </w:tcPr>
          <w:p w14:paraId="6E74AD7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3,214,087.81</w:t>
            </w:r>
          </w:p>
        </w:tc>
      </w:tr>
      <w:tr w14:paraId="7B2EC4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7E4A77A2">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固定资产折旧、油气资产折耗、生产性生物资产折旧</w:t>
            </w:r>
          </w:p>
        </w:tc>
        <w:tc>
          <w:tcPr>
            <w:tcW w:w="2017" w:type="dxa"/>
            <w:vAlign w:val="bottom"/>
          </w:tcPr>
          <w:p w14:paraId="6418EA48">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591,505.06</w:t>
            </w:r>
          </w:p>
        </w:tc>
        <w:tc>
          <w:tcPr>
            <w:tcW w:w="2107" w:type="dxa"/>
            <w:vAlign w:val="bottom"/>
          </w:tcPr>
          <w:p w14:paraId="19AD040E">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683,415.13</w:t>
            </w:r>
          </w:p>
        </w:tc>
      </w:tr>
      <w:tr w14:paraId="5397FD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470C2FC1">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无形资产摊销</w:t>
            </w:r>
          </w:p>
        </w:tc>
        <w:tc>
          <w:tcPr>
            <w:tcW w:w="2017" w:type="dxa"/>
            <w:vAlign w:val="bottom"/>
          </w:tcPr>
          <w:p w14:paraId="5B9EC22F">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04760E2C">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2E36AE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37479FD6">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长期待摊费用摊销</w:t>
            </w:r>
          </w:p>
        </w:tc>
        <w:tc>
          <w:tcPr>
            <w:tcW w:w="2017" w:type="dxa"/>
            <w:vAlign w:val="bottom"/>
          </w:tcPr>
          <w:p w14:paraId="4543B82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1,055,457.12</w:t>
            </w:r>
          </w:p>
        </w:tc>
        <w:tc>
          <w:tcPr>
            <w:tcW w:w="2107" w:type="dxa"/>
            <w:vAlign w:val="bottom"/>
          </w:tcPr>
          <w:p w14:paraId="586FC23C">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2,265,146.88</w:t>
            </w:r>
          </w:p>
        </w:tc>
      </w:tr>
      <w:tr w14:paraId="17CA91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3ADC7128">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处置固定资产、无形资产和其他长期资产的损失（收益以“－”号填列）</w:t>
            </w:r>
          </w:p>
        </w:tc>
        <w:tc>
          <w:tcPr>
            <w:tcW w:w="2017" w:type="dxa"/>
            <w:vAlign w:val="bottom"/>
          </w:tcPr>
          <w:p w14:paraId="33E00791">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601BAEA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209,615.81</w:t>
            </w:r>
          </w:p>
        </w:tc>
      </w:tr>
      <w:tr w14:paraId="49BC6C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04E2915D">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固定资产报废损失（收益以“－”号填列）</w:t>
            </w:r>
          </w:p>
        </w:tc>
        <w:tc>
          <w:tcPr>
            <w:tcW w:w="2017" w:type="dxa"/>
            <w:vAlign w:val="bottom"/>
          </w:tcPr>
          <w:p w14:paraId="6B40E144">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15A0F27A">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130BD9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3313EB21">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公允价值变动损失（收益以“－”号填列）</w:t>
            </w:r>
          </w:p>
        </w:tc>
        <w:tc>
          <w:tcPr>
            <w:tcW w:w="2017" w:type="dxa"/>
            <w:vAlign w:val="bottom"/>
          </w:tcPr>
          <w:p w14:paraId="0FA99188">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1A970092">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43AECA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25336DA9">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财务费用（收益以“－”号填列）</w:t>
            </w:r>
          </w:p>
        </w:tc>
        <w:tc>
          <w:tcPr>
            <w:tcW w:w="2017" w:type="dxa"/>
            <w:vAlign w:val="bottom"/>
          </w:tcPr>
          <w:p w14:paraId="64A1E653">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49,790.27</w:t>
            </w:r>
          </w:p>
        </w:tc>
        <w:tc>
          <w:tcPr>
            <w:tcW w:w="2107" w:type="dxa"/>
            <w:vAlign w:val="bottom"/>
          </w:tcPr>
          <w:p w14:paraId="294F5B4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63,637.05</w:t>
            </w:r>
          </w:p>
        </w:tc>
      </w:tr>
      <w:tr w14:paraId="7775D8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28026ECA">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投资损失（收益以“－”号填列）</w:t>
            </w:r>
          </w:p>
        </w:tc>
        <w:tc>
          <w:tcPr>
            <w:tcW w:w="2017" w:type="dxa"/>
            <w:vAlign w:val="bottom"/>
          </w:tcPr>
          <w:p w14:paraId="50826CDC">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0904992B">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1B0ADD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09E6F763">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递延所得税资产减少（增加以“－”号填列）</w:t>
            </w:r>
          </w:p>
        </w:tc>
        <w:tc>
          <w:tcPr>
            <w:tcW w:w="2017" w:type="dxa"/>
            <w:vAlign w:val="bottom"/>
          </w:tcPr>
          <w:p w14:paraId="510B4C8C">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-6,604,640.32</w:t>
            </w:r>
          </w:p>
        </w:tc>
        <w:tc>
          <w:tcPr>
            <w:tcW w:w="2107" w:type="dxa"/>
            <w:vAlign w:val="bottom"/>
          </w:tcPr>
          <w:p w14:paraId="48A04C68">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-2,948,953.51</w:t>
            </w:r>
          </w:p>
        </w:tc>
      </w:tr>
      <w:tr w14:paraId="4501B8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63F42B33">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递延所得税负债增加（减少以“－”号填列）</w:t>
            </w:r>
          </w:p>
        </w:tc>
        <w:tc>
          <w:tcPr>
            <w:tcW w:w="2017" w:type="dxa"/>
            <w:vAlign w:val="bottom"/>
          </w:tcPr>
          <w:p w14:paraId="07DBEB77">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307C3D17">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51B2BB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0EDBBED3">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存货的减少（增加以“－”号填列）</w:t>
            </w:r>
          </w:p>
        </w:tc>
        <w:tc>
          <w:tcPr>
            <w:tcW w:w="2017" w:type="dxa"/>
            <w:vAlign w:val="bottom"/>
          </w:tcPr>
          <w:p w14:paraId="4DD8138A">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50E43B23">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1C4441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14" w:hRule="atLeast"/>
          <w:jc w:val="center"/>
        </w:trPr>
        <w:tc>
          <w:tcPr>
            <w:tcW w:w="4398" w:type="dxa"/>
            <w:vAlign w:val="bottom"/>
          </w:tcPr>
          <w:p w14:paraId="422CB27A">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经营性应收项目的减少（增加以“－”号填列）</w:t>
            </w:r>
          </w:p>
        </w:tc>
        <w:tc>
          <w:tcPr>
            <w:tcW w:w="2017" w:type="dxa"/>
            <w:vAlign w:val="bottom"/>
          </w:tcPr>
          <w:p w14:paraId="1F78DEDE">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52,785,310.94</w:t>
            </w:r>
          </w:p>
        </w:tc>
        <w:tc>
          <w:tcPr>
            <w:tcW w:w="2107" w:type="dxa"/>
            <w:vAlign w:val="bottom"/>
          </w:tcPr>
          <w:p w14:paraId="72C373D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-85,228,037.38</w:t>
            </w:r>
          </w:p>
        </w:tc>
      </w:tr>
      <w:tr w14:paraId="1C57D5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745DBD8D">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经营性应付项目的增加（减少以“－”号填列）</w:t>
            </w:r>
          </w:p>
        </w:tc>
        <w:tc>
          <w:tcPr>
            <w:tcW w:w="2017" w:type="dxa"/>
            <w:vAlign w:val="bottom"/>
          </w:tcPr>
          <w:p w14:paraId="507A64B1">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-209,525,717.14</w:t>
            </w:r>
          </w:p>
        </w:tc>
        <w:tc>
          <w:tcPr>
            <w:tcW w:w="2107" w:type="dxa"/>
            <w:vAlign w:val="bottom"/>
          </w:tcPr>
          <w:p w14:paraId="2728D4D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99,913,040.20</w:t>
            </w:r>
          </w:p>
        </w:tc>
      </w:tr>
      <w:tr w14:paraId="237F1A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vAlign w:val="bottom"/>
          </w:tcPr>
          <w:p w14:paraId="7994CB04">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其他</w:t>
            </w:r>
          </w:p>
        </w:tc>
        <w:tc>
          <w:tcPr>
            <w:tcW w:w="2017" w:type="dxa"/>
            <w:vAlign w:val="bottom"/>
          </w:tcPr>
          <w:p w14:paraId="46E44B30">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c>
          <w:tcPr>
            <w:tcW w:w="2107" w:type="dxa"/>
            <w:vAlign w:val="bottom"/>
          </w:tcPr>
          <w:p w14:paraId="7E0B5B13">
            <w:pPr>
              <w:keepNext w:val="0"/>
              <w:keepLines w:val="0"/>
              <w:suppressLineNumbers w:val="0"/>
              <w:spacing w:before="0" w:beforeAutospacing="0" w:after="0" w:afterAutospacing="0"/>
              <w:ind w:left="0" w:right="0"/>
              <w:jc w:val="right"/>
              <w:rPr>
                <w:rFonts w:hint="default" w:asciiTheme="minorEastAsia" w:hAnsiTheme="minorEastAsia" w:eastAsiaTheme="minorEastAsia"/>
                <w:color w:val="000000"/>
                <w:highlight w:val="none"/>
              </w:rPr>
            </w:pPr>
          </w:p>
        </w:tc>
      </w:tr>
      <w:tr w14:paraId="693E09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2" w:hRule="atLeast"/>
          <w:jc w:val="center"/>
        </w:trPr>
        <w:tc>
          <w:tcPr>
            <w:tcW w:w="4398" w:type="dxa"/>
            <w:tcBorders>
              <w:bottom w:val="single" w:color="auto" w:sz="12" w:space="0"/>
            </w:tcBorders>
            <w:vAlign w:val="bottom"/>
          </w:tcPr>
          <w:p w14:paraId="034AA2FD">
            <w:pPr>
              <w:keepNext w:val="0"/>
              <w:keepLines w:val="0"/>
              <w:widowControl/>
              <w:suppressLineNumbers w:val="0"/>
              <w:spacing w:before="0" w:beforeAutospacing="0" w:after="0" w:afterAutospacing="0"/>
              <w:ind w:left="0" w:right="0" w:firstLine="420" w:firstLineChars="20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经营活动产生的现金流量净额</w:t>
            </w:r>
          </w:p>
        </w:tc>
        <w:tc>
          <w:tcPr>
            <w:tcW w:w="2017" w:type="dxa"/>
            <w:tcBorders>
              <w:bottom w:val="single" w:color="auto" w:sz="12" w:space="0"/>
            </w:tcBorders>
            <w:vAlign w:val="bottom"/>
          </w:tcPr>
          <w:p w14:paraId="3D1299BC">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-127,628,451.52</w:t>
            </w:r>
          </w:p>
        </w:tc>
        <w:tc>
          <w:tcPr>
            <w:tcW w:w="2107" w:type="dxa"/>
            <w:tcBorders>
              <w:bottom w:val="single" w:color="auto" w:sz="12" w:space="0"/>
            </w:tcBorders>
            <w:vAlign w:val="bottom"/>
          </w:tcPr>
          <w:p w14:paraId="75E2661D">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39,706,105.73</w:t>
            </w:r>
          </w:p>
        </w:tc>
      </w:tr>
      <w:bookmarkEnd w:id="15"/>
    </w:tbl>
    <w:p w14:paraId="4BDACEAB">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现金及现金等价物净增加情况</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29"/>
        <w:gridCol w:w="2611"/>
        <w:gridCol w:w="2582"/>
      </w:tblGrid>
      <w:tr w14:paraId="35C11E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29" w:type="dxa"/>
            <w:tcBorders>
              <w:top w:val="single" w:color="auto" w:sz="12" w:space="0"/>
            </w:tcBorders>
            <w:vAlign w:val="bottom"/>
          </w:tcPr>
          <w:p w14:paraId="07931A10">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11" w:type="dxa"/>
            <w:tcBorders>
              <w:top w:val="single" w:color="auto" w:sz="12" w:space="0"/>
            </w:tcBorders>
            <w:vAlign w:val="bottom"/>
          </w:tcPr>
          <w:p w14:paraId="2BA2741A">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582" w:type="dxa"/>
            <w:tcBorders>
              <w:top w:val="single" w:color="auto" w:sz="12" w:space="0"/>
            </w:tcBorders>
            <w:vAlign w:val="bottom"/>
          </w:tcPr>
          <w:p w14:paraId="41164D01">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612D30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7D0C1DF5">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bookmarkStart w:id="16" w:name="OLE_LINK3" w:colFirst="3" w:colLast="3"/>
            <w:r>
              <w:rPr>
                <w:rFonts w:hint="eastAsia" w:ascii="宋体" w:hAnsi="宋体" w:eastAsia="宋体" w:cs="宋体"/>
                <w:i w:val="0"/>
                <w:iCs w:val="0"/>
                <w:color w:val="000000"/>
                <w:kern w:val="0"/>
                <w:sz w:val="21"/>
                <w:szCs w:val="21"/>
                <w:highlight w:val="none"/>
                <w:u w:val="none"/>
                <w:lang w:val="en-US" w:eastAsia="zh-CN" w:bidi="ar"/>
              </w:rPr>
              <w:t>现金的期末余额</w:t>
            </w:r>
          </w:p>
        </w:tc>
        <w:tc>
          <w:tcPr>
            <w:tcW w:w="2611" w:type="dxa"/>
            <w:vAlign w:val="bottom"/>
          </w:tcPr>
          <w:p w14:paraId="084B48F9">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6,181,801.64</w:t>
            </w:r>
          </w:p>
        </w:tc>
        <w:tc>
          <w:tcPr>
            <w:tcW w:w="2582" w:type="dxa"/>
            <w:vAlign w:val="bottom"/>
          </w:tcPr>
          <w:p w14:paraId="18A18510">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6,243,586.11</w:t>
            </w:r>
          </w:p>
        </w:tc>
      </w:tr>
      <w:tr w14:paraId="3B4D60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5FC8F193">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减：现金的上年年末余额</w:t>
            </w:r>
          </w:p>
        </w:tc>
        <w:tc>
          <w:tcPr>
            <w:tcW w:w="2611" w:type="dxa"/>
            <w:vAlign w:val="bottom"/>
          </w:tcPr>
          <w:p w14:paraId="7109A12B">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6,243,586.11</w:t>
            </w:r>
          </w:p>
        </w:tc>
        <w:tc>
          <w:tcPr>
            <w:tcW w:w="2582" w:type="dxa"/>
            <w:vAlign w:val="bottom"/>
          </w:tcPr>
          <w:p w14:paraId="7B0CBF6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7,033,051.80</w:t>
            </w:r>
          </w:p>
        </w:tc>
      </w:tr>
      <w:tr w14:paraId="702AD3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6075AB6F">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加：现金等价物的期末余额</w:t>
            </w:r>
          </w:p>
        </w:tc>
        <w:tc>
          <w:tcPr>
            <w:tcW w:w="2611" w:type="dxa"/>
            <w:vAlign w:val="bottom"/>
          </w:tcPr>
          <w:p w14:paraId="07FEA06E">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93,358,452.29</w:t>
            </w:r>
          </w:p>
        </w:tc>
        <w:tc>
          <w:tcPr>
            <w:tcW w:w="2582" w:type="dxa"/>
            <w:vAlign w:val="bottom"/>
          </w:tcPr>
          <w:p w14:paraId="1642A2D0">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221,356,635.38</w:t>
            </w:r>
          </w:p>
        </w:tc>
      </w:tr>
      <w:tr w14:paraId="583165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4560FDDA">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减：现金等价物的上年年末余额</w:t>
            </w:r>
          </w:p>
        </w:tc>
        <w:tc>
          <w:tcPr>
            <w:tcW w:w="2611" w:type="dxa"/>
            <w:vAlign w:val="bottom"/>
          </w:tcPr>
          <w:p w14:paraId="1229D407">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221,356,635.38</w:t>
            </w:r>
          </w:p>
        </w:tc>
        <w:tc>
          <w:tcPr>
            <w:tcW w:w="2582" w:type="dxa"/>
            <w:vAlign w:val="bottom"/>
          </w:tcPr>
          <w:p w14:paraId="66535145">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161,197,731.33</w:t>
            </w:r>
          </w:p>
        </w:tc>
      </w:tr>
      <w:tr w14:paraId="1EB09C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tcBorders>
              <w:bottom w:val="single" w:color="auto" w:sz="12" w:space="0"/>
            </w:tcBorders>
            <w:vAlign w:val="bottom"/>
          </w:tcPr>
          <w:p w14:paraId="69426DC5">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现金及现金等价物净增加额</w:t>
            </w:r>
          </w:p>
        </w:tc>
        <w:tc>
          <w:tcPr>
            <w:tcW w:w="2611" w:type="dxa"/>
            <w:tcBorders>
              <w:bottom w:val="single" w:color="auto" w:sz="12" w:space="0"/>
            </w:tcBorders>
            <w:vAlign w:val="bottom"/>
          </w:tcPr>
          <w:p w14:paraId="2A4D1C9F">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-128,059,967.56</w:t>
            </w:r>
          </w:p>
        </w:tc>
        <w:tc>
          <w:tcPr>
            <w:tcW w:w="2582" w:type="dxa"/>
            <w:tcBorders>
              <w:bottom w:val="single" w:color="auto" w:sz="12" w:space="0"/>
            </w:tcBorders>
            <w:vAlign w:val="bottom"/>
          </w:tcPr>
          <w:p w14:paraId="72F63392">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59,369,438.36</w:t>
            </w:r>
          </w:p>
        </w:tc>
      </w:tr>
      <w:bookmarkEnd w:id="16"/>
    </w:tbl>
    <w:p w14:paraId="3EB0B8A4">
      <w:pPr>
        <w:autoSpaceDE w:val="0"/>
        <w:autoSpaceDN w:val="0"/>
        <w:adjustRightInd w:val="0"/>
        <w:spacing w:line="480" w:lineRule="exact"/>
        <w:ind w:firstLine="480" w:firstLineChars="200"/>
        <w:jc w:val="left"/>
        <w:rPr>
          <w:rFonts w:ascii="宋体" w:hAnsi="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现金及现金等价物</w:t>
      </w:r>
    </w:p>
    <w:p w14:paraId="351DAAF2">
      <w:pPr>
        <w:autoSpaceDE w:val="0"/>
        <w:autoSpaceDN w:val="0"/>
        <w:adjustRightInd w:val="0"/>
        <w:spacing w:line="480" w:lineRule="exact"/>
        <w:ind w:firstLine="436" w:firstLineChars="182"/>
        <w:jc w:val="left"/>
        <w:rPr>
          <w:rFonts w:ascii="宋体" w:hAnsi="宋体"/>
          <w:kern w:val="0"/>
          <w:sz w:val="24"/>
          <w:szCs w:val="24"/>
          <w:highlight w:val="none"/>
        </w:rPr>
      </w:pPr>
      <w:r>
        <w:rPr>
          <w:rFonts w:hint="eastAsia" w:ascii="宋体" w:hAnsi="宋体" w:cs="宋体"/>
          <w:kern w:val="0"/>
          <w:sz w:val="24"/>
          <w:szCs w:val="24"/>
          <w:highlight w:val="none"/>
        </w:rPr>
        <w:t>列示于现金流量表中的现金及现金等价物包括：</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329"/>
        <w:gridCol w:w="2611"/>
        <w:gridCol w:w="2582"/>
      </w:tblGrid>
      <w:tr w14:paraId="4B7891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329" w:type="dxa"/>
            <w:tcBorders>
              <w:top w:val="single" w:color="auto" w:sz="12" w:space="0"/>
            </w:tcBorders>
            <w:vAlign w:val="bottom"/>
          </w:tcPr>
          <w:p w14:paraId="4E894A81">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611" w:type="dxa"/>
            <w:tcBorders>
              <w:top w:val="single" w:color="auto" w:sz="12" w:space="0"/>
            </w:tcBorders>
            <w:vAlign w:val="bottom"/>
          </w:tcPr>
          <w:p w14:paraId="312308AE">
            <w:pPr>
              <w:keepNext w:val="0"/>
              <w:keepLines w:val="0"/>
              <w:widowControl/>
              <w:suppressLineNumbers w:val="0"/>
              <w:spacing w:before="0" w:beforeAutospacing="0" w:after="0" w:afterAutospacing="0"/>
              <w:ind w:left="0" w:right="0"/>
              <w:jc w:val="center"/>
              <w:textAlignment w:val="bottom"/>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本期发生额</w:t>
            </w:r>
          </w:p>
        </w:tc>
        <w:tc>
          <w:tcPr>
            <w:tcW w:w="2582" w:type="dxa"/>
            <w:tcBorders>
              <w:top w:val="single" w:color="auto" w:sz="12" w:space="0"/>
            </w:tcBorders>
            <w:vAlign w:val="bottom"/>
          </w:tcPr>
          <w:p w14:paraId="68ADB41D">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上期发生额</w:t>
            </w:r>
          </w:p>
        </w:tc>
      </w:tr>
      <w:tr w14:paraId="48230A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19044565">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现金</w:t>
            </w:r>
          </w:p>
        </w:tc>
        <w:tc>
          <w:tcPr>
            <w:tcW w:w="2611" w:type="dxa"/>
            <w:vAlign w:val="bottom"/>
          </w:tcPr>
          <w:p w14:paraId="18A2D3E4">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6,181,801.64</w:t>
            </w:r>
          </w:p>
        </w:tc>
        <w:tc>
          <w:tcPr>
            <w:tcW w:w="2582" w:type="dxa"/>
            <w:vAlign w:val="bottom"/>
          </w:tcPr>
          <w:p w14:paraId="70A27242">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6,243,586.11</w:t>
            </w:r>
          </w:p>
        </w:tc>
      </w:tr>
      <w:tr w14:paraId="74A600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53DDE582">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存放中央银行非限定性存款</w:t>
            </w:r>
          </w:p>
        </w:tc>
        <w:tc>
          <w:tcPr>
            <w:tcW w:w="2611" w:type="dxa"/>
            <w:vAlign w:val="bottom"/>
          </w:tcPr>
          <w:p w14:paraId="04D9F29C">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19,815,546.66</w:t>
            </w:r>
          </w:p>
        </w:tc>
        <w:tc>
          <w:tcPr>
            <w:tcW w:w="2582" w:type="dxa"/>
            <w:vAlign w:val="bottom"/>
          </w:tcPr>
          <w:p w14:paraId="768CB268">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63,232,611.63</w:t>
            </w:r>
          </w:p>
        </w:tc>
      </w:tr>
      <w:tr w14:paraId="0E1F8D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50DB5412">
            <w:pPr>
              <w:keepNext w:val="0"/>
              <w:keepLines w:val="0"/>
              <w:widowControl/>
              <w:suppressLineNumbers w:val="0"/>
              <w:spacing w:before="0" w:beforeAutospacing="0" w:after="0" w:afterAutospacing="0"/>
              <w:ind w:left="0" w:right="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原始到期日不超过三个月的：</w:t>
            </w:r>
          </w:p>
        </w:tc>
        <w:tc>
          <w:tcPr>
            <w:tcW w:w="2611" w:type="dxa"/>
            <w:vAlign w:val="bottom"/>
          </w:tcPr>
          <w:p w14:paraId="479EBD60">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2582" w:type="dxa"/>
            <w:vAlign w:val="bottom"/>
          </w:tcPr>
          <w:p w14:paraId="26438C0B">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00D734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6ACB23EC">
            <w:pPr>
              <w:keepNext w:val="0"/>
              <w:keepLines w:val="0"/>
              <w:widowControl/>
              <w:suppressLineNumbers w:val="0"/>
              <w:spacing w:before="0" w:beforeAutospacing="0" w:after="0" w:afterAutospacing="0"/>
              <w:ind w:left="0" w:right="0" w:firstLine="210" w:firstLineChars="100"/>
              <w:jc w:val="both"/>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—存放同业款项</w:t>
            </w:r>
          </w:p>
        </w:tc>
        <w:tc>
          <w:tcPr>
            <w:tcW w:w="2611" w:type="dxa"/>
            <w:vAlign w:val="bottom"/>
          </w:tcPr>
          <w:p w14:paraId="6A30E769">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73,542,905.63</w:t>
            </w:r>
          </w:p>
        </w:tc>
        <w:tc>
          <w:tcPr>
            <w:tcW w:w="2582" w:type="dxa"/>
            <w:vAlign w:val="bottom"/>
          </w:tcPr>
          <w:p w14:paraId="17250CC9">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158,124,023.75</w:t>
            </w:r>
          </w:p>
        </w:tc>
      </w:tr>
      <w:tr w14:paraId="2862C8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vAlign w:val="bottom"/>
          </w:tcPr>
          <w:p w14:paraId="77F304AD">
            <w:pPr>
              <w:keepNext w:val="0"/>
              <w:keepLines w:val="0"/>
              <w:widowControl/>
              <w:suppressLineNumbers w:val="0"/>
              <w:spacing w:before="0" w:beforeAutospacing="0" w:after="0" w:afterAutospacing="0"/>
              <w:ind w:left="0" w:right="0" w:firstLine="210" w:firstLineChars="100"/>
              <w:jc w:val="both"/>
              <w:textAlignment w:val="bottom"/>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—买入返售金融资产</w:t>
            </w:r>
          </w:p>
        </w:tc>
        <w:tc>
          <w:tcPr>
            <w:tcW w:w="2611" w:type="dxa"/>
            <w:vAlign w:val="bottom"/>
          </w:tcPr>
          <w:p w14:paraId="5C960B21">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c>
          <w:tcPr>
            <w:tcW w:w="2582" w:type="dxa"/>
            <w:vAlign w:val="bottom"/>
          </w:tcPr>
          <w:p w14:paraId="2232CDD2">
            <w:pPr>
              <w:keepNext w:val="0"/>
              <w:keepLines w:val="0"/>
              <w:suppressLineNumbers w:val="0"/>
              <w:spacing w:before="0" w:beforeAutospacing="0" w:after="0" w:afterAutospacing="0"/>
              <w:ind w:left="0" w:right="0"/>
              <w:jc w:val="right"/>
              <w:rPr>
                <w:rFonts w:hint="default" w:asciiTheme="minorEastAsia" w:hAnsiTheme="minorEastAsia" w:eastAsiaTheme="minorEastAsia"/>
                <w:highlight w:val="none"/>
              </w:rPr>
            </w:pPr>
          </w:p>
        </w:tc>
      </w:tr>
      <w:tr w14:paraId="435412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329" w:type="dxa"/>
            <w:tcBorders>
              <w:bottom w:val="single" w:color="auto" w:sz="12" w:space="0"/>
            </w:tcBorders>
            <w:vAlign w:val="bottom"/>
          </w:tcPr>
          <w:p w14:paraId="41B19E97">
            <w:pPr>
              <w:keepNext w:val="0"/>
              <w:keepLines w:val="0"/>
              <w:widowControl/>
              <w:suppressLineNumbers w:val="0"/>
              <w:spacing w:before="0" w:beforeAutospacing="0" w:after="0" w:afterAutospacing="0"/>
              <w:ind w:left="0" w:right="0"/>
              <w:jc w:val="center"/>
              <w:textAlignment w:val="bottom"/>
              <w:rPr>
                <w:rFonts w:hint="default" w:ascii="宋体" w:hAnsi="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611" w:type="dxa"/>
            <w:tcBorders>
              <w:bottom w:val="single" w:color="auto" w:sz="12" w:space="0"/>
            </w:tcBorders>
            <w:vAlign w:val="bottom"/>
          </w:tcPr>
          <w:p w14:paraId="2FC40553">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99,540,253.93</w:t>
            </w:r>
          </w:p>
        </w:tc>
        <w:tc>
          <w:tcPr>
            <w:tcW w:w="2582" w:type="dxa"/>
            <w:tcBorders>
              <w:bottom w:val="single" w:color="auto" w:sz="12" w:space="0"/>
            </w:tcBorders>
            <w:vAlign w:val="bottom"/>
          </w:tcPr>
          <w:p w14:paraId="3346A0E6">
            <w:pPr>
              <w:keepNext w:val="0"/>
              <w:keepLines w:val="0"/>
              <w:widowControl/>
              <w:suppressLineNumbers w:val="0"/>
              <w:spacing w:before="0" w:beforeAutospacing="0" w:after="0" w:afterAutospacing="0"/>
              <w:ind w:left="0" w:right="0"/>
              <w:jc w:val="right"/>
              <w:textAlignment w:val="bottom"/>
              <w:rPr>
                <w:rFonts w:hint="default" w:asciiTheme="minorEastAsia" w:hAnsiTheme="minorEastAsia" w:eastAsiaTheme="minorEastAsia"/>
                <w:highlight w:val="none"/>
              </w:rPr>
            </w:pPr>
            <w:r>
              <w:rPr>
                <w:rFonts w:hint="eastAsia" w:ascii="宋体" w:hAnsi="宋体" w:eastAsia="宋体" w:cs="宋体"/>
                <w:i w:val="0"/>
                <w:iCs w:val="0"/>
                <w:color w:val="000000"/>
                <w:kern w:val="0"/>
                <w:sz w:val="21"/>
                <w:szCs w:val="21"/>
                <w:highlight w:val="none"/>
                <w:u w:val="none"/>
                <w:lang w:val="en-US" w:eastAsia="zh-CN" w:bidi="ar"/>
              </w:rPr>
              <w:t>227,600,221.49</w:t>
            </w:r>
          </w:p>
        </w:tc>
      </w:tr>
    </w:tbl>
    <w:p w14:paraId="74623A35">
      <w:pPr>
        <w:pStyle w:val="3"/>
        <w:keepNext w:val="0"/>
        <w:keepLines w:val="0"/>
        <w:numPr>
          <w:ilvl w:val="0"/>
          <w:numId w:val="0"/>
        </w:numPr>
        <w:tabs>
          <w:tab w:val="left" w:pos="851"/>
        </w:tabs>
        <w:spacing w:before="0" w:after="0" w:line="480" w:lineRule="exact"/>
        <w:ind w:leftChars="0"/>
        <w:rPr>
          <w:rFonts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二十九</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资本管理</w:t>
      </w:r>
    </w:p>
    <w:p w14:paraId="386EB5E0">
      <w:pPr>
        <w:autoSpaceDE w:val="0"/>
        <w:autoSpaceDN w:val="0"/>
        <w:adjustRightInd w:val="0"/>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本村镇银行根据中国银行业监督管理委员会颁布的《商业银行资本充足率管理办法》和其他有关规定计算和披露资本充足率。</w:t>
      </w:r>
    </w:p>
    <w:tbl>
      <w:tblPr>
        <w:tblStyle w:val="22"/>
        <w:tblW w:w="852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494"/>
        <w:gridCol w:w="2080"/>
        <w:gridCol w:w="1948"/>
      </w:tblGrid>
      <w:tr w14:paraId="0AEFE0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tblHeader/>
          <w:jc w:val="center"/>
        </w:trPr>
        <w:tc>
          <w:tcPr>
            <w:tcW w:w="4494" w:type="dxa"/>
            <w:tcBorders>
              <w:top w:val="single" w:color="auto" w:sz="12" w:space="0"/>
            </w:tcBorders>
            <w:vAlign w:val="center"/>
          </w:tcPr>
          <w:p w14:paraId="4D96C1F3">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080" w:type="dxa"/>
            <w:tcBorders>
              <w:top w:val="single" w:color="auto" w:sz="12" w:space="0"/>
            </w:tcBorders>
            <w:vAlign w:val="center"/>
          </w:tcPr>
          <w:p w14:paraId="13BE8A54">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w:t>
            </w:r>
          </w:p>
        </w:tc>
        <w:tc>
          <w:tcPr>
            <w:tcW w:w="1948" w:type="dxa"/>
            <w:tcBorders>
              <w:top w:val="single" w:color="auto" w:sz="12" w:space="0"/>
            </w:tcBorders>
            <w:vAlign w:val="center"/>
          </w:tcPr>
          <w:p w14:paraId="021947C4">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w:t>
            </w:r>
          </w:p>
        </w:tc>
      </w:tr>
      <w:tr w14:paraId="3350CE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01B6DFF6">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核心一级资本净额（万元）</w:t>
            </w:r>
          </w:p>
        </w:tc>
        <w:tc>
          <w:tcPr>
            <w:tcW w:w="2080" w:type="dxa"/>
            <w:vAlign w:val="center"/>
          </w:tcPr>
          <w:p w14:paraId="5CE1DB9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color w:val="000000"/>
                <w:kern w:val="0"/>
                <w:sz w:val="21"/>
                <w:szCs w:val="21"/>
                <w:highlight w:val="none"/>
                <w:u w:val="none"/>
                <w:lang w:val="en-US" w:eastAsia="zh-CN" w:bidi="ar"/>
              </w:rPr>
              <w:t xml:space="preserve">12,736.24 </w:t>
            </w:r>
          </w:p>
        </w:tc>
        <w:tc>
          <w:tcPr>
            <w:tcW w:w="1948" w:type="dxa"/>
            <w:vAlign w:val="center"/>
          </w:tcPr>
          <w:p w14:paraId="5EC4462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11,782.16 </w:t>
            </w:r>
          </w:p>
        </w:tc>
      </w:tr>
      <w:tr w14:paraId="220DF0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339A4F36">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一级资本净额（万元）</w:t>
            </w:r>
          </w:p>
        </w:tc>
        <w:tc>
          <w:tcPr>
            <w:tcW w:w="2080" w:type="dxa"/>
            <w:vAlign w:val="center"/>
          </w:tcPr>
          <w:p w14:paraId="5041E06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color w:val="000000"/>
                <w:kern w:val="0"/>
                <w:sz w:val="21"/>
                <w:szCs w:val="21"/>
                <w:highlight w:val="none"/>
                <w:u w:val="none"/>
                <w:lang w:val="en-US" w:eastAsia="zh-CN" w:bidi="ar"/>
              </w:rPr>
              <w:t>12,736.24</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948" w:type="dxa"/>
            <w:vAlign w:val="center"/>
          </w:tcPr>
          <w:p w14:paraId="7B58E97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11,782.16 </w:t>
            </w:r>
          </w:p>
        </w:tc>
      </w:tr>
      <w:tr w14:paraId="1E3A3F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79C2FA04">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资本净额（万元）</w:t>
            </w:r>
          </w:p>
        </w:tc>
        <w:tc>
          <w:tcPr>
            <w:tcW w:w="2080" w:type="dxa"/>
            <w:vAlign w:val="center"/>
          </w:tcPr>
          <w:p w14:paraId="5058683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color w:val="000000"/>
                <w:kern w:val="0"/>
                <w:sz w:val="21"/>
                <w:szCs w:val="21"/>
                <w:highlight w:val="none"/>
                <w:u w:val="none"/>
                <w:lang w:val="en-US" w:eastAsia="zh-CN" w:bidi="ar"/>
              </w:rPr>
              <w:t>17,128.3</w:t>
            </w:r>
            <w:r>
              <w:rPr>
                <w:rFonts w:hint="eastAsia" w:ascii="宋体" w:hAnsi="宋体" w:cs="宋体"/>
                <w:i w:val="0"/>
                <w:color w:val="000000"/>
                <w:kern w:val="0"/>
                <w:sz w:val="21"/>
                <w:szCs w:val="21"/>
                <w:highlight w:val="none"/>
                <w:u w:val="none"/>
                <w:lang w:val="en-US" w:eastAsia="zh-CN" w:bidi="ar"/>
              </w:rPr>
              <w:t>0</w:t>
            </w:r>
            <w:r>
              <w:rPr>
                <w:rFonts w:hint="eastAsia" w:ascii="宋体" w:hAnsi="宋体" w:eastAsia="宋体" w:cs="宋体"/>
                <w:i w:val="0"/>
                <w:color w:val="000000"/>
                <w:kern w:val="0"/>
                <w:sz w:val="21"/>
                <w:szCs w:val="21"/>
                <w:highlight w:val="none"/>
                <w:u w:val="none"/>
                <w:lang w:val="en-US" w:eastAsia="zh-CN" w:bidi="ar"/>
              </w:rPr>
              <w:t xml:space="preserve"> </w:t>
            </w:r>
          </w:p>
        </w:tc>
        <w:tc>
          <w:tcPr>
            <w:tcW w:w="1948" w:type="dxa"/>
            <w:vAlign w:val="center"/>
          </w:tcPr>
          <w:p w14:paraId="20416C5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12,688.68  </w:t>
            </w:r>
          </w:p>
        </w:tc>
      </w:tr>
      <w:tr w14:paraId="0FA23A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33A6BFE3">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信用风险加权资产（万元）</w:t>
            </w:r>
          </w:p>
        </w:tc>
        <w:tc>
          <w:tcPr>
            <w:tcW w:w="2080" w:type="dxa"/>
            <w:vAlign w:val="center"/>
          </w:tcPr>
          <w:p w14:paraId="22450A4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68,175.55 </w:t>
            </w:r>
          </w:p>
        </w:tc>
        <w:tc>
          <w:tcPr>
            <w:tcW w:w="1948" w:type="dxa"/>
            <w:vAlign w:val="center"/>
          </w:tcPr>
          <w:p w14:paraId="3870243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73,428.17 </w:t>
            </w:r>
          </w:p>
        </w:tc>
      </w:tr>
      <w:tr w14:paraId="077C53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5126E940">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其中：表内风险加权资产（万元）</w:t>
            </w:r>
          </w:p>
        </w:tc>
        <w:tc>
          <w:tcPr>
            <w:tcW w:w="2080" w:type="dxa"/>
            <w:vAlign w:val="center"/>
          </w:tcPr>
          <w:p w14:paraId="1962E93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68,175.55 </w:t>
            </w:r>
          </w:p>
        </w:tc>
        <w:tc>
          <w:tcPr>
            <w:tcW w:w="1948" w:type="dxa"/>
            <w:vAlign w:val="center"/>
          </w:tcPr>
          <w:p w14:paraId="524113F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73,428.17 </w:t>
            </w:r>
          </w:p>
        </w:tc>
      </w:tr>
      <w:tr w14:paraId="3D2E14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67D0DA68">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其中：表外风险加权资产（万元）</w:t>
            </w:r>
          </w:p>
        </w:tc>
        <w:tc>
          <w:tcPr>
            <w:tcW w:w="2080" w:type="dxa"/>
            <w:vAlign w:val="center"/>
          </w:tcPr>
          <w:p w14:paraId="201E4577">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48" w:type="dxa"/>
            <w:vAlign w:val="center"/>
          </w:tcPr>
          <w:p w14:paraId="289AE48C">
            <w:pPr>
              <w:keepNext w:val="0"/>
              <w:keepLines w:val="0"/>
              <w:suppressLineNumbers w:val="0"/>
              <w:spacing w:before="0" w:beforeAutospacing="0" w:after="0" w:afterAutospacing="0"/>
              <w:ind w:left="0" w:leftChars="0" w:right="0" w:rightChars="0"/>
              <w:jc w:val="right"/>
              <w:rPr>
                <w:rFonts w:hint="default" w:ascii="宋体" w:hAnsi="宋体"/>
                <w:color w:val="000000"/>
                <w:highlight w:val="none"/>
              </w:rPr>
            </w:pPr>
          </w:p>
        </w:tc>
      </w:tr>
      <w:tr w14:paraId="55F405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3496965E">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其中：交易对手信用风险暴露的风险加权资产（万元）</w:t>
            </w:r>
          </w:p>
        </w:tc>
        <w:tc>
          <w:tcPr>
            <w:tcW w:w="2080" w:type="dxa"/>
            <w:vAlign w:val="center"/>
          </w:tcPr>
          <w:p w14:paraId="35FC0D9F">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48" w:type="dxa"/>
            <w:vAlign w:val="center"/>
          </w:tcPr>
          <w:p w14:paraId="07914B8A">
            <w:pPr>
              <w:keepNext w:val="0"/>
              <w:keepLines w:val="0"/>
              <w:suppressLineNumbers w:val="0"/>
              <w:spacing w:before="0" w:beforeAutospacing="0" w:after="0" w:afterAutospacing="0"/>
              <w:ind w:left="0" w:leftChars="0" w:right="0" w:rightChars="0"/>
              <w:jc w:val="right"/>
              <w:rPr>
                <w:rFonts w:hint="default" w:ascii="宋体" w:hAnsi="宋体"/>
                <w:color w:val="000000"/>
                <w:highlight w:val="none"/>
              </w:rPr>
            </w:pPr>
          </w:p>
        </w:tc>
      </w:tr>
      <w:tr w14:paraId="110519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314C1D72">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市场风险加权资产（万元）</w:t>
            </w:r>
          </w:p>
        </w:tc>
        <w:tc>
          <w:tcPr>
            <w:tcW w:w="2080" w:type="dxa"/>
            <w:vAlign w:val="center"/>
          </w:tcPr>
          <w:p w14:paraId="5BA579E1">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48" w:type="dxa"/>
            <w:vAlign w:val="center"/>
          </w:tcPr>
          <w:p w14:paraId="50CFC4D7">
            <w:pPr>
              <w:keepNext w:val="0"/>
              <w:keepLines w:val="0"/>
              <w:suppressLineNumbers w:val="0"/>
              <w:spacing w:before="0" w:beforeAutospacing="0" w:after="0" w:afterAutospacing="0"/>
              <w:ind w:left="0" w:leftChars="0" w:right="0" w:rightChars="0"/>
              <w:jc w:val="right"/>
              <w:rPr>
                <w:rFonts w:hint="default" w:ascii="宋体" w:hAnsi="宋体"/>
                <w:color w:val="000000"/>
                <w:highlight w:val="none"/>
              </w:rPr>
            </w:pPr>
          </w:p>
        </w:tc>
      </w:tr>
      <w:tr w14:paraId="5954FF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606CB6AF">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操作风险加权资产（万元）</w:t>
            </w:r>
          </w:p>
        </w:tc>
        <w:tc>
          <w:tcPr>
            <w:tcW w:w="2080" w:type="dxa"/>
            <w:vAlign w:val="center"/>
          </w:tcPr>
          <w:p w14:paraId="63B72597">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9,530.06 </w:t>
            </w:r>
          </w:p>
        </w:tc>
        <w:tc>
          <w:tcPr>
            <w:tcW w:w="1948" w:type="dxa"/>
            <w:vAlign w:val="center"/>
          </w:tcPr>
          <w:p w14:paraId="2690584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8,221.19</w:t>
            </w:r>
          </w:p>
        </w:tc>
      </w:tr>
      <w:tr w14:paraId="2F021B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213B5CA5">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应用资本底线之前的风险加权资产合计（万元）</w:t>
            </w:r>
          </w:p>
        </w:tc>
        <w:tc>
          <w:tcPr>
            <w:tcW w:w="2080" w:type="dxa"/>
            <w:vAlign w:val="center"/>
          </w:tcPr>
          <w:p w14:paraId="7C6D6295">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77,705.61 </w:t>
            </w:r>
          </w:p>
        </w:tc>
        <w:tc>
          <w:tcPr>
            <w:tcW w:w="1948" w:type="dxa"/>
            <w:vAlign w:val="center"/>
          </w:tcPr>
          <w:p w14:paraId="151031B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81,649.36</w:t>
            </w:r>
          </w:p>
        </w:tc>
      </w:tr>
      <w:tr w14:paraId="5F9181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94" w:hRule="atLeast"/>
          <w:jc w:val="center"/>
        </w:trPr>
        <w:tc>
          <w:tcPr>
            <w:tcW w:w="4494" w:type="dxa"/>
            <w:vAlign w:val="center"/>
          </w:tcPr>
          <w:p w14:paraId="78C3E7C1">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因应用资本底线而导致的额外风险加权资产（资本计量高级方法银行适用）</w:t>
            </w:r>
          </w:p>
        </w:tc>
        <w:tc>
          <w:tcPr>
            <w:tcW w:w="2080" w:type="dxa"/>
            <w:vAlign w:val="center"/>
          </w:tcPr>
          <w:p w14:paraId="1FD10082">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48" w:type="dxa"/>
            <w:vAlign w:val="center"/>
          </w:tcPr>
          <w:p w14:paraId="383CE44D">
            <w:pPr>
              <w:keepNext w:val="0"/>
              <w:keepLines w:val="0"/>
              <w:suppressLineNumbers w:val="0"/>
              <w:spacing w:before="0" w:beforeAutospacing="0" w:after="0" w:afterAutospacing="0"/>
              <w:ind w:left="0" w:leftChars="0" w:right="0" w:rightChars="0"/>
              <w:jc w:val="right"/>
              <w:rPr>
                <w:rFonts w:hint="default" w:ascii="宋体" w:hAnsi="宋体"/>
                <w:color w:val="000000"/>
                <w:highlight w:val="none"/>
              </w:rPr>
            </w:pPr>
          </w:p>
        </w:tc>
      </w:tr>
      <w:tr w14:paraId="30A44E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09DA55DA">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应用资本底线之后的风险加权资产合计（万元）</w:t>
            </w:r>
          </w:p>
        </w:tc>
        <w:tc>
          <w:tcPr>
            <w:tcW w:w="2080" w:type="dxa"/>
            <w:vAlign w:val="center"/>
          </w:tcPr>
          <w:p w14:paraId="05692F7F">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77,705.61 </w:t>
            </w:r>
          </w:p>
        </w:tc>
        <w:tc>
          <w:tcPr>
            <w:tcW w:w="1948" w:type="dxa"/>
            <w:vAlign w:val="center"/>
          </w:tcPr>
          <w:p w14:paraId="04CEE3E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81,649.36</w:t>
            </w:r>
          </w:p>
        </w:tc>
      </w:tr>
      <w:tr w14:paraId="3A0D74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13A1F886">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核心一级资本充足率%</w:t>
            </w:r>
          </w:p>
        </w:tc>
        <w:tc>
          <w:tcPr>
            <w:tcW w:w="2080" w:type="dxa"/>
            <w:vAlign w:val="center"/>
          </w:tcPr>
          <w:p w14:paraId="741D9F3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16.39</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948" w:type="dxa"/>
            <w:vAlign w:val="center"/>
          </w:tcPr>
          <w:p w14:paraId="5177098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14.43</w:t>
            </w:r>
          </w:p>
        </w:tc>
      </w:tr>
      <w:tr w14:paraId="1C7A43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vAlign w:val="center"/>
          </w:tcPr>
          <w:p w14:paraId="25D3B70C">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一级资本充足率%</w:t>
            </w:r>
          </w:p>
        </w:tc>
        <w:tc>
          <w:tcPr>
            <w:tcW w:w="2080" w:type="dxa"/>
            <w:vAlign w:val="center"/>
          </w:tcPr>
          <w:p w14:paraId="35757D3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16.39</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948" w:type="dxa"/>
            <w:vAlign w:val="center"/>
          </w:tcPr>
          <w:p w14:paraId="4604516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lang w:val="en-US"/>
              </w:rPr>
            </w:pPr>
            <w:r>
              <w:rPr>
                <w:rFonts w:hint="eastAsia" w:ascii="宋体" w:hAnsi="宋体" w:eastAsia="宋体" w:cs="宋体"/>
                <w:i w:val="0"/>
                <w:iCs w:val="0"/>
                <w:color w:val="000000"/>
                <w:kern w:val="0"/>
                <w:sz w:val="21"/>
                <w:szCs w:val="21"/>
                <w:highlight w:val="none"/>
                <w:u w:val="none"/>
                <w:lang w:val="en-US" w:eastAsia="zh-CN" w:bidi="ar"/>
              </w:rPr>
              <w:t>14.43</w:t>
            </w:r>
          </w:p>
        </w:tc>
      </w:tr>
      <w:tr w14:paraId="70F57D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3" w:hRule="atLeast"/>
          <w:jc w:val="center"/>
        </w:trPr>
        <w:tc>
          <w:tcPr>
            <w:tcW w:w="4494" w:type="dxa"/>
            <w:tcBorders>
              <w:bottom w:val="single" w:color="auto" w:sz="12" w:space="0"/>
            </w:tcBorders>
            <w:vAlign w:val="center"/>
          </w:tcPr>
          <w:p w14:paraId="5709F209">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资本充足率%</w:t>
            </w:r>
          </w:p>
        </w:tc>
        <w:tc>
          <w:tcPr>
            <w:tcW w:w="2080" w:type="dxa"/>
            <w:tcBorders>
              <w:bottom w:val="single" w:color="auto" w:sz="12" w:space="0"/>
            </w:tcBorders>
            <w:vAlign w:val="center"/>
          </w:tcPr>
          <w:p w14:paraId="3D1AB41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cs="宋体"/>
                <w:i w:val="0"/>
                <w:iCs w:val="0"/>
                <w:color w:val="auto"/>
                <w:kern w:val="0"/>
                <w:sz w:val="21"/>
                <w:szCs w:val="21"/>
                <w:highlight w:val="none"/>
                <w:u w:val="none"/>
                <w:lang w:val="en-US" w:eastAsia="zh-CN" w:bidi="ar"/>
              </w:rPr>
              <w:t>22.04</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948" w:type="dxa"/>
            <w:tcBorders>
              <w:bottom w:val="single" w:color="auto" w:sz="12" w:space="0"/>
            </w:tcBorders>
            <w:vAlign w:val="center"/>
          </w:tcPr>
          <w:p w14:paraId="30D0200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15.54</w:t>
            </w:r>
          </w:p>
        </w:tc>
      </w:tr>
    </w:tbl>
    <w:p w14:paraId="2C309814">
      <w:pPr>
        <w:pStyle w:val="20"/>
        <w:spacing w:before="0" w:after="0" w:line="480" w:lineRule="exact"/>
        <w:ind w:firstLine="562" w:firstLineChars="200"/>
        <w:jc w:val="both"/>
        <w:rPr>
          <w:rFonts w:ascii="宋体" w:hAnsi="宋体"/>
          <w:sz w:val="28"/>
          <w:szCs w:val="28"/>
          <w:highlight w:val="none"/>
        </w:rPr>
      </w:pPr>
      <w:r>
        <w:rPr>
          <w:rFonts w:hint="eastAsia" w:ascii="宋体" w:hAnsi="宋体" w:cs="宋体"/>
          <w:sz w:val="28"/>
          <w:szCs w:val="28"/>
          <w:highlight w:val="none"/>
        </w:rPr>
        <w:t>八、关联方关系及其交易</w:t>
      </w:r>
    </w:p>
    <w:p w14:paraId="634AC7E3">
      <w:pPr>
        <w:autoSpaceDE w:val="0"/>
        <w:autoSpaceDN w:val="0"/>
        <w:adjustRightInd w:val="0"/>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本村镇银行的母公司情况</w:t>
      </w:r>
    </w:p>
    <w:tbl>
      <w:tblPr>
        <w:tblStyle w:val="22"/>
        <w:tblW w:w="4994"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12"/>
        <w:gridCol w:w="1143"/>
        <w:gridCol w:w="1291"/>
        <w:gridCol w:w="1905"/>
        <w:gridCol w:w="1270"/>
        <w:gridCol w:w="1191"/>
      </w:tblGrid>
      <w:tr w14:paraId="6A2293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5" w:hRule="atLeast"/>
          <w:jc w:val="center"/>
        </w:trPr>
        <w:tc>
          <w:tcPr>
            <w:tcW w:w="1005" w:type="pct"/>
            <w:vAlign w:val="center"/>
          </w:tcPr>
          <w:p w14:paraId="68A42417">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母公司名称</w:t>
            </w:r>
          </w:p>
        </w:tc>
        <w:tc>
          <w:tcPr>
            <w:tcW w:w="671" w:type="pct"/>
            <w:vAlign w:val="center"/>
          </w:tcPr>
          <w:p w14:paraId="471C02D6">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注册地</w:t>
            </w:r>
          </w:p>
        </w:tc>
        <w:tc>
          <w:tcPr>
            <w:tcW w:w="758" w:type="pct"/>
            <w:vAlign w:val="center"/>
          </w:tcPr>
          <w:p w14:paraId="7A87B32E">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业务性质</w:t>
            </w:r>
          </w:p>
        </w:tc>
        <w:tc>
          <w:tcPr>
            <w:tcW w:w="1119" w:type="pct"/>
            <w:vAlign w:val="center"/>
          </w:tcPr>
          <w:p w14:paraId="714F5BD2">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注册资本（元）</w:t>
            </w:r>
          </w:p>
        </w:tc>
        <w:tc>
          <w:tcPr>
            <w:tcW w:w="746" w:type="pct"/>
            <w:vAlign w:val="center"/>
          </w:tcPr>
          <w:p w14:paraId="2A63A436">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母公司对本企业的持股比例(%)</w:t>
            </w:r>
          </w:p>
        </w:tc>
        <w:tc>
          <w:tcPr>
            <w:tcW w:w="699" w:type="pct"/>
            <w:vAlign w:val="center"/>
          </w:tcPr>
          <w:p w14:paraId="12DFFBC6">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母公司对本企业的表决权比例(%)</w:t>
            </w:r>
          </w:p>
        </w:tc>
      </w:tr>
      <w:tr w14:paraId="3E5634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55" w:hRule="atLeast"/>
          <w:jc w:val="center"/>
        </w:trPr>
        <w:tc>
          <w:tcPr>
            <w:tcW w:w="1005" w:type="pct"/>
            <w:vAlign w:val="center"/>
          </w:tcPr>
          <w:p w14:paraId="22E9909B">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山东诸城农村商业银行股份有限公司</w:t>
            </w:r>
          </w:p>
        </w:tc>
        <w:tc>
          <w:tcPr>
            <w:tcW w:w="671" w:type="pct"/>
            <w:vAlign w:val="center"/>
          </w:tcPr>
          <w:p w14:paraId="176974A4">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诸城市北环路中段北侧</w:t>
            </w:r>
          </w:p>
        </w:tc>
        <w:tc>
          <w:tcPr>
            <w:tcW w:w="758" w:type="pct"/>
            <w:vAlign w:val="center"/>
          </w:tcPr>
          <w:p w14:paraId="1328D1AB">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股份有限公司（非上市）</w:t>
            </w:r>
          </w:p>
        </w:tc>
        <w:tc>
          <w:tcPr>
            <w:tcW w:w="1119" w:type="pct"/>
            <w:vAlign w:val="center"/>
          </w:tcPr>
          <w:p w14:paraId="56B5FA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1，629，985，738.00</w:t>
            </w:r>
          </w:p>
        </w:tc>
        <w:tc>
          <w:tcPr>
            <w:tcW w:w="746" w:type="pct"/>
            <w:vAlign w:val="center"/>
          </w:tcPr>
          <w:p w14:paraId="080ACE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51</w:t>
            </w:r>
          </w:p>
        </w:tc>
        <w:tc>
          <w:tcPr>
            <w:tcW w:w="699" w:type="pct"/>
            <w:vAlign w:val="center"/>
          </w:tcPr>
          <w:p w14:paraId="1E5A396D">
            <w:pPr>
              <w:keepNext w:val="0"/>
              <w:keepLines w:val="0"/>
              <w:suppressLineNumbers w:val="0"/>
              <w:spacing w:before="0" w:beforeAutospacing="0" w:after="0" w:afterAutospacing="0"/>
              <w:ind w:left="0" w:right="0"/>
              <w:jc w:val="center"/>
              <w:rPr>
                <w:rFonts w:hint="default" w:ascii="宋体" w:hAnsi="宋体"/>
                <w:kern w:val="0"/>
                <w:highlight w:val="none"/>
              </w:rPr>
            </w:pPr>
            <w:r>
              <w:rPr>
                <w:rFonts w:hint="eastAsia" w:ascii="宋体" w:hAnsi="宋体"/>
                <w:kern w:val="0"/>
                <w:highlight w:val="none"/>
              </w:rPr>
              <w:t>51</w:t>
            </w:r>
          </w:p>
        </w:tc>
      </w:tr>
    </w:tbl>
    <w:p w14:paraId="55B8A4D2">
      <w:pPr>
        <w:autoSpaceDE w:val="0"/>
        <w:autoSpaceDN w:val="0"/>
        <w:adjustRightInd w:val="0"/>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其他关联方情况</w:t>
      </w:r>
    </w:p>
    <w:tbl>
      <w:tblPr>
        <w:tblStyle w:val="2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529"/>
        <w:gridCol w:w="3993"/>
      </w:tblGrid>
      <w:tr w14:paraId="15F03F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blHeader/>
        </w:trPr>
        <w:tc>
          <w:tcPr>
            <w:tcW w:w="2657" w:type="pct"/>
            <w:vAlign w:val="center"/>
          </w:tcPr>
          <w:p w14:paraId="78ECDB53">
            <w:pPr>
              <w:keepNext w:val="0"/>
              <w:keepLines w:val="0"/>
              <w:suppressLineNumbers w:val="0"/>
              <w:spacing w:before="0" w:beforeAutospacing="0" w:after="0" w:afterAutospacing="0"/>
              <w:ind w:left="0" w:right="0"/>
              <w:jc w:val="center"/>
              <w:rPr>
                <w:rFonts w:hint="default" w:ascii="宋体" w:hAnsi="宋体" w:cs="Cambria"/>
                <w:sz w:val="18"/>
                <w:szCs w:val="18"/>
                <w:highlight w:val="none"/>
              </w:rPr>
            </w:pPr>
            <w:r>
              <w:rPr>
                <w:rFonts w:hint="eastAsia" w:ascii="宋体" w:hAnsi="宋体"/>
                <w:kern w:val="0"/>
                <w:highlight w:val="none"/>
              </w:rPr>
              <w:t>其他关联方名称</w:t>
            </w:r>
          </w:p>
        </w:tc>
        <w:tc>
          <w:tcPr>
            <w:tcW w:w="2342" w:type="pct"/>
            <w:vAlign w:val="center"/>
          </w:tcPr>
          <w:p w14:paraId="428FA430">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其他关联方与本企业关系</w:t>
            </w:r>
          </w:p>
        </w:tc>
      </w:tr>
      <w:tr w14:paraId="1C6BB6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0C0B1B28">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山东利津舜丰村镇银行股份有限公司</w:t>
            </w:r>
          </w:p>
        </w:tc>
        <w:tc>
          <w:tcPr>
            <w:tcW w:w="2342" w:type="pct"/>
            <w:vAlign w:val="center"/>
          </w:tcPr>
          <w:p w14:paraId="3716F2C1">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2D332F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77A08C37">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青岛黄岛舜丰村镇银行股份有限公司</w:t>
            </w:r>
          </w:p>
        </w:tc>
        <w:tc>
          <w:tcPr>
            <w:tcW w:w="2342" w:type="pct"/>
            <w:vAlign w:val="center"/>
          </w:tcPr>
          <w:p w14:paraId="222F2AAA">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054F66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3DC83E72">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山东惠民舜丰村镇银行股份有限公司</w:t>
            </w:r>
          </w:p>
        </w:tc>
        <w:tc>
          <w:tcPr>
            <w:tcW w:w="2342" w:type="pct"/>
            <w:vAlign w:val="center"/>
          </w:tcPr>
          <w:p w14:paraId="07E2ACCB">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04B538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212E33E9">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乐亭舜丰村镇银行股份有限公司</w:t>
            </w:r>
          </w:p>
        </w:tc>
        <w:tc>
          <w:tcPr>
            <w:tcW w:w="2342" w:type="pct"/>
            <w:vAlign w:val="center"/>
          </w:tcPr>
          <w:p w14:paraId="7E6605D9">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34E70B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54C37508">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唐山市丰南舜丰村镇银行股份有限公司</w:t>
            </w:r>
          </w:p>
        </w:tc>
        <w:tc>
          <w:tcPr>
            <w:tcW w:w="2342" w:type="pct"/>
            <w:vAlign w:val="center"/>
          </w:tcPr>
          <w:p w14:paraId="0C091044">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5421C1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78F5FF3C">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大城舜丰村镇银行股份有限公司</w:t>
            </w:r>
          </w:p>
        </w:tc>
        <w:tc>
          <w:tcPr>
            <w:tcW w:w="2342" w:type="pct"/>
            <w:vAlign w:val="center"/>
          </w:tcPr>
          <w:p w14:paraId="6589FFE7">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2F2E07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12C7F592">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廊坊市广阳舜丰村镇银行股份有限公司</w:t>
            </w:r>
          </w:p>
        </w:tc>
        <w:tc>
          <w:tcPr>
            <w:tcW w:w="2342" w:type="pct"/>
            <w:vAlign w:val="center"/>
          </w:tcPr>
          <w:p w14:paraId="6087AA42">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受同一母公司控制</w:t>
            </w:r>
          </w:p>
        </w:tc>
      </w:tr>
      <w:tr w14:paraId="50E0E8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1417DA54">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霸州市盛达房地产开发有限公司</w:t>
            </w:r>
          </w:p>
        </w:tc>
        <w:tc>
          <w:tcPr>
            <w:tcW w:w="2342" w:type="pct"/>
            <w:vAlign w:val="center"/>
          </w:tcPr>
          <w:p w14:paraId="1F1B02C7">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w:t>
            </w:r>
            <w:r>
              <w:rPr>
                <w:rFonts w:hint="default" w:ascii="宋体" w:hAnsi="宋体" w:cs="Cambria"/>
                <w:highlight w:val="none"/>
              </w:rPr>
              <w:t>5%</w:t>
            </w:r>
            <w:r>
              <w:rPr>
                <w:rFonts w:hint="eastAsia" w:ascii="宋体" w:hAnsi="宋体" w:cs="Cambria"/>
                <w:highlight w:val="none"/>
              </w:rPr>
              <w:t>及</w:t>
            </w:r>
            <w:r>
              <w:rPr>
                <w:rFonts w:hint="default" w:ascii="宋体" w:hAnsi="宋体" w:cs="Cambria"/>
                <w:highlight w:val="none"/>
              </w:rPr>
              <w:t>5%</w:t>
            </w:r>
            <w:r>
              <w:rPr>
                <w:rFonts w:hint="eastAsia" w:ascii="宋体" w:hAnsi="宋体" w:cs="Cambria"/>
                <w:highlight w:val="none"/>
              </w:rPr>
              <w:t>以上股份的股东</w:t>
            </w:r>
          </w:p>
        </w:tc>
      </w:tr>
      <w:tr w14:paraId="5D3B1C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451A5FBE">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河北嘉容金属制品有限公司</w:t>
            </w:r>
          </w:p>
        </w:tc>
        <w:tc>
          <w:tcPr>
            <w:tcW w:w="2342" w:type="pct"/>
            <w:vAlign w:val="center"/>
          </w:tcPr>
          <w:p w14:paraId="2F440EEC">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w:t>
            </w:r>
            <w:r>
              <w:rPr>
                <w:rFonts w:hint="default" w:ascii="宋体" w:hAnsi="宋体" w:cs="Cambria"/>
                <w:highlight w:val="none"/>
              </w:rPr>
              <w:t>5%</w:t>
            </w:r>
            <w:r>
              <w:rPr>
                <w:rFonts w:hint="eastAsia" w:ascii="宋体" w:hAnsi="宋体" w:cs="Cambria"/>
                <w:highlight w:val="none"/>
              </w:rPr>
              <w:t>及</w:t>
            </w:r>
            <w:r>
              <w:rPr>
                <w:rFonts w:hint="default" w:ascii="宋体" w:hAnsi="宋体" w:cs="Cambria"/>
                <w:highlight w:val="none"/>
              </w:rPr>
              <w:t>5%</w:t>
            </w:r>
            <w:r>
              <w:rPr>
                <w:rFonts w:hint="eastAsia" w:ascii="宋体" w:hAnsi="宋体" w:cs="Cambria"/>
                <w:highlight w:val="none"/>
              </w:rPr>
              <w:t>以上股份的股东</w:t>
            </w:r>
          </w:p>
        </w:tc>
      </w:tr>
      <w:tr w14:paraId="244EBF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4BF6C29C">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霸州市京龙车辆有限责任公司</w:t>
            </w:r>
          </w:p>
        </w:tc>
        <w:tc>
          <w:tcPr>
            <w:tcW w:w="2342" w:type="pct"/>
            <w:vAlign w:val="center"/>
          </w:tcPr>
          <w:p w14:paraId="791856AD">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本村镇银行5%及5%以上股份的股东</w:t>
            </w:r>
          </w:p>
        </w:tc>
      </w:tr>
      <w:tr w14:paraId="68A323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6F2C0583">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霸州市三鑫钢管有限公司</w:t>
            </w:r>
          </w:p>
        </w:tc>
        <w:tc>
          <w:tcPr>
            <w:tcW w:w="2342" w:type="pct"/>
            <w:vAlign w:val="center"/>
          </w:tcPr>
          <w:p w14:paraId="26AC41E9">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w:t>
            </w:r>
            <w:r>
              <w:rPr>
                <w:rFonts w:hint="default" w:ascii="宋体" w:hAnsi="宋体" w:cs="Cambria"/>
                <w:highlight w:val="none"/>
              </w:rPr>
              <w:t>5%</w:t>
            </w:r>
            <w:r>
              <w:rPr>
                <w:rFonts w:hint="eastAsia" w:ascii="宋体" w:hAnsi="宋体" w:cs="Cambria"/>
                <w:highlight w:val="none"/>
              </w:rPr>
              <w:t>及</w:t>
            </w:r>
            <w:r>
              <w:rPr>
                <w:rFonts w:hint="default" w:ascii="宋体" w:hAnsi="宋体" w:cs="Cambria"/>
                <w:highlight w:val="none"/>
              </w:rPr>
              <w:t>5%</w:t>
            </w:r>
            <w:r>
              <w:rPr>
                <w:rFonts w:hint="eastAsia" w:ascii="宋体" w:hAnsi="宋体" w:cs="Cambria"/>
                <w:highlight w:val="none"/>
              </w:rPr>
              <w:t>以上股份的股东</w:t>
            </w:r>
          </w:p>
        </w:tc>
      </w:tr>
      <w:tr w14:paraId="231B72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63F51560">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廊坊市兴隆伟业商贸有限公司</w:t>
            </w:r>
          </w:p>
        </w:tc>
        <w:tc>
          <w:tcPr>
            <w:tcW w:w="2342" w:type="pct"/>
            <w:vAlign w:val="center"/>
          </w:tcPr>
          <w:p w14:paraId="345DD996">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本村镇银行5%及5%以上股份的股东</w:t>
            </w:r>
          </w:p>
        </w:tc>
      </w:tr>
      <w:tr w14:paraId="026564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046E4F72">
            <w:pPr>
              <w:keepNext w:val="0"/>
              <w:keepLines w:val="0"/>
              <w:widowControl/>
              <w:suppressLineNumbers w:val="0"/>
              <w:spacing w:before="0" w:beforeAutospacing="0" w:after="0" w:afterAutospacing="0"/>
              <w:ind w:left="0" w:right="0"/>
              <w:jc w:val="left"/>
              <w:rPr>
                <w:rFonts w:hint="default" w:ascii="宋体" w:hAnsi="宋体"/>
                <w:kern w:val="0"/>
                <w:highlight w:val="none"/>
              </w:rPr>
            </w:pPr>
            <w:r>
              <w:rPr>
                <w:rFonts w:hint="eastAsia" w:ascii="宋体" w:hAnsi="宋体"/>
                <w:kern w:val="0"/>
                <w:highlight w:val="none"/>
              </w:rPr>
              <w:t>廊坊市德仁</w:t>
            </w:r>
            <w:r>
              <w:rPr>
                <w:rFonts w:hint="eastAsia" w:ascii="宋体" w:hAnsi="宋体"/>
                <w:kern w:val="0"/>
                <w:highlight w:val="none"/>
                <w:lang w:val="en-US" w:eastAsia="zh-CN"/>
              </w:rPr>
              <w:t>物业服务</w:t>
            </w:r>
            <w:r>
              <w:rPr>
                <w:rFonts w:hint="eastAsia" w:ascii="宋体" w:hAnsi="宋体"/>
                <w:kern w:val="0"/>
                <w:highlight w:val="none"/>
              </w:rPr>
              <w:t>有限公司</w:t>
            </w:r>
          </w:p>
        </w:tc>
        <w:tc>
          <w:tcPr>
            <w:tcW w:w="2342" w:type="pct"/>
            <w:vAlign w:val="center"/>
          </w:tcPr>
          <w:p w14:paraId="4F1C0B6F">
            <w:pPr>
              <w:keepNext w:val="0"/>
              <w:keepLines w:val="0"/>
              <w:suppressLineNumbers w:val="0"/>
              <w:spacing w:before="0" w:beforeAutospacing="0" w:after="0" w:afterAutospacing="0"/>
              <w:ind w:left="0" w:right="0"/>
              <w:jc w:val="center"/>
              <w:rPr>
                <w:rFonts w:hint="default" w:ascii="宋体" w:hAnsi="宋体" w:cs="Cambria"/>
                <w:highlight w:val="none"/>
              </w:rPr>
            </w:pPr>
            <w:r>
              <w:rPr>
                <w:rFonts w:hint="eastAsia" w:ascii="宋体" w:hAnsi="宋体" w:cs="Cambria"/>
                <w:highlight w:val="none"/>
              </w:rPr>
              <w:t>本村镇银行</w:t>
            </w:r>
            <w:r>
              <w:rPr>
                <w:rFonts w:hint="default" w:ascii="宋体" w:hAnsi="宋体" w:cs="Cambria"/>
                <w:highlight w:val="none"/>
              </w:rPr>
              <w:t>5%</w:t>
            </w:r>
            <w:r>
              <w:rPr>
                <w:rFonts w:hint="eastAsia" w:ascii="宋体" w:hAnsi="宋体" w:cs="Cambria"/>
                <w:highlight w:val="none"/>
              </w:rPr>
              <w:t>及</w:t>
            </w:r>
            <w:r>
              <w:rPr>
                <w:rFonts w:hint="default" w:ascii="宋体" w:hAnsi="宋体" w:cs="Cambria"/>
                <w:highlight w:val="none"/>
              </w:rPr>
              <w:t>5%</w:t>
            </w:r>
            <w:r>
              <w:rPr>
                <w:rFonts w:hint="eastAsia" w:ascii="宋体" w:hAnsi="宋体" w:cs="Cambria"/>
                <w:highlight w:val="none"/>
              </w:rPr>
              <w:t>以上股份的股东</w:t>
            </w:r>
          </w:p>
        </w:tc>
      </w:tr>
      <w:tr w14:paraId="788557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shd w:val="clear" w:color="auto" w:fill="auto"/>
            <w:vAlign w:val="center"/>
          </w:tcPr>
          <w:p w14:paraId="121B390B">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0"/>
                <w:sz w:val="21"/>
                <w:szCs w:val="21"/>
                <w:highlight w:val="none"/>
                <w:lang w:val="en-US" w:eastAsia="zh-CN" w:bidi="ar-SA"/>
              </w:rPr>
            </w:pPr>
            <w:r>
              <w:rPr>
                <w:rFonts w:hint="eastAsia" w:ascii="宋体" w:hAnsi="宋体"/>
                <w:kern w:val="0"/>
                <w:highlight w:val="none"/>
                <w:lang w:val="en-US" w:eastAsia="zh-CN"/>
              </w:rPr>
              <w:t>孔涛</w:t>
            </w:r>
          </w:p>
        </w:tc>
        <w:tc>
          <w:tcPr>
            <w:tcW w:w="2342" w:type="pct"/>
            <w:shd w:val="clear" w:color="auto" w:fill="auto"/>
            <w:vAlign w:val="center"/>
          </w:tcPr>
          <w:p w14:paraId="7CF735FB">
            <w:pPr>
              <w:keepNext w:val="0"/>
              <w:keepLines w:val="0"/>
              <w:suppressLineNumbers w:val="0"/>
              <w:spacing w:before="0" w:beforeAutospacing="0" w:after="0" w:afterAutospacing="0"/>
              <w:ind w:left="0" w:leftChars="0" w:right="0" w:rightChars="0"/>
              <w:jc w:val="center"/>
              <w:rPr>
                <w:rFonts w:hint="eastAsia" w:ascii="宋体" w:hAnsi="宋体" w:eastAsia="宋体" w:cs="Cambria"/>
                <w:kern w:val="2"/>
                <w:sz w:val="21"/>
                <w:szCs w:val="21"/>
                <w:highlight w:val="none"/>
                <w:lang w:val="en-US" w:eastAsia="zh-CN" w:bidi="ar-SA"/>
              </w:rPr>
            </w:pPr>
            <w:r>
              <w:rPr>
                <w:rFonts w:hint="eastAsia" w:ascii="宋体" w:hAnsi="宋体" w:cs="Cambria"/>
                <w:highlight w:val="none"/>
              </w:rPr>
              <w:t>董事</w:t>
            </w:r>
            <w:r>
              <w:rPr>
                <w:rFonts w:hint="eastAsia" w:ascii="宋体" w:hAnsi="宋体" w:cs="Cambria"/>
                <w:highlight w:val="none"/>
                <w:lang w:val="en-US" w:eastAsia="zh-CN"/>
              </w:rPr>
              <w:t>长</w:t>
            </w:r>
          </w:p>
        </w:tc>
      </w:tr>
      <w:tr w14:paraId="5A15E6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6B0E8720">
            <w:pPr>
              <w:keepNext w:val="0"/>
              <w:keepLines w:val="0"/>
              <w:widowControl/>
              <w:suppressLineNumbers w:val="0"/>
              <w:spacing w:before="0" w:beforeAutospacing="0" w:after="0" w:afterAutospacing="0"/>
              <w:ind w:left="0" w:right="0"/>
              <w:jc w:val="left"/>
              <w:rPr>
                <w:rFonts w:hint="eastAsia" w:ascii="宋体" w:hAnsi="宋体"/>
                <w:kern w:val="0"/>
                <w:highlight w:val="none"/>
              </w:rPr>
            </w:pPr>
            <w:r>
              <w:rPr>
                <w:rFonts w:hint="eastAsia"/>
                <w:highlight w:val="none"/>
              </w:rPr>
              <w:t>赵培杰</w:t>
            </w:r>
            <w:r>
              <w:rPr>
                <w:rFonts w:hint="eastAsia"/>
                <w:highlight w:val="none"/>
              </w:rPr>
              <w:tab/>
            </w:r>
          </w:p>
        </w:tc>
        <w:tc>
          <w:tcPr>
            <w:tcW w:w="2342" w:type="pct"/>
            <w:vAlign w:val="center"/>
          </w:tcPr>
          <w:p w14:paraId="04E186B5">
            <w:pPr>
              <w:keepNext w:val="0"/>
              <w:keepLines w:val="0"/>
              <w:suppressLineNumbers w:val="0"/>
              <w:spacing w:before="0" w:beforeAutospacing="0" w:after="0" w:afterAutospacing="0"/>
              <w:ind w:left="0" w:right="0"/>
              <w:jc w:val="center"/>
              <w:rPr>
                <w:rFonts w:hint="eastAsia" w:ascii="宋体" w:hAnsi="宋体" w:eastAsia="宋体" w:cs="Cambria"/>
                <w:highlight w:val="none"/>
                <w:lang w:eastAsia="zh-CN"/>
              </w:rPr>
            </w:pPr>
            <w:r>
              <w:rPr>
                <w:rFonts w:hint="eastAsia"/>
                <w:highlight w:val="none"/>
                <w:lang w:val="en-US" w:eastAsia="zh-CN"/>
              </w:rPr>
              <w:t>行长</w:t>
            </w:r>
          </w:p>
        </w:tc>
      </w:tr>
      <w:tr w14:paraId="60F163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0246FB58">
            <w:pPr>
              <w:keepNext w:val="0"/>
              <w:keepLines w:val="0"/>
              <w:widowControl/>
              <w:suppressLineNumbers w:val="0"/>
              <w:spacing w:before="0" w:beforeAutospacing="0" w:after="0" w:afterAutospacing="0"/>
              <w:ind w:left="0" w:right="0"/>
              <w:jc w:val="left"/>
              <w:rPr>
                <w:rFonts w:hint="eastAsia" w:ascii="宋体" w:hAnsi="宋体"/>
                <w:kern w:val="0"/>
                <w:highlight w:val="none"/>
              </w:rPr>
            </w:pPr>
            <w:r>
              <w:rPr>
                <w:rFonts w:hint="eastAsia" w:ascii="宋体" w:hAnsi="宋体"/>
                <w:kern w:val="0"/>
                <w:highlight w:val="none"/>
              </w:rPr>
              <w:t>姜静静</w:t>
            </w:r>
          </w:p>
        </w:tc>
        <w:tc>
          <w:tcPr>
            <w:tcW w:w="2342" w:type="pct"/>
            <w:vAlign w:val="center"/>
          </w:tcPr>
          <w:p w14:paraId="7D01F59F">
            <w:pPr>
              <w:keepNext w:val="0"/>
              <w:keepLines w:val="0"/>
              <w:suppressLineNumbers w:val="0"/>
              <w:spacing w:before="0" w:beforeAutospacing="0" w:after="0" w:afterAutospacing="0"/>
              <w:ind w:left="0" w:right="0"/>
              <w:jc w:val="center"/>
              <w:rPr>
                <w:rFonts w:hint="eastAsia" w:ascii="宋体" w:hAnsi="宋体" w:cs="Cambria"/>
                <w:highlight w:val="none"/>
              </w:rPr>
            </w:pPr>
            <w:r>
              <w:rPr>
                <w:rFonts w:hint="eastAsia" w:ascii="宋体" w:hAnsi="宋体" w:cs="Cambria"/>
                <w:highlight w:val="none"/>
              </w:rPr>
              <w:t>董事</w:t>
            </w:r>
          </w:p>
        </w:tc>
      </w:tr>
      <w:tr w14:paraId="789DE5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69D7A8F9">
            <w:pPr>
              <w:keepNext w:val="0"/>
              <w:keepLines w:val="0"/>
              <w:widowControl/>
              <w:suppressLineNumbers w:val="0"/>
              <w:spacing w:before="0" w:beforeAutospacing="0" w:after="0" w:afterAutospacing="0"/>
              <w:ind w:left="0" w:right="0"/>
              <w:jc w:val="left"/>
              <w:rPr>
                <w:rFonts w:hint="eastAsia" w:ascii="宋体" w:hAnsi="宋体"/>
                <w:kern w:val="0"/>
                <w:highlight w:val="none"/>
              </w:rPr>
            </w:pPr>
            <w:r>
              <w:rPr>
                <w:rFonts w:hint="eastAsia" w:ascii="宋体" w:hAnsi="宋体"/>
                <w:kern w:val="0"/>
                <w:highlight w:val="none"/>
              </w:rPr>
              <w:t>罗言长</w:t>
            </w:r>
          </w:p>
        </w:tc>
        <w:tc>
          <w:tcPr>
            <w:tcW w:w="2342" w:type="pct"/>
            <w:vAlign w:val="center"/>
          </w:tcPr>
          <w:p w14:paraId="16B7C3B4">
            <w:pPr>
              <w:keepNext w:val="0"/>
              <w:keepLines w:val="0"/>
              <w:suppressLineNumbers w:val="0"/>
              <w:spacing w:before="0" w:beforeAutospacing="0" w:after="0" w:afterAutospacing="0"/>
              <w:ind w:left="0" w:right="0"/>
              <w:jc w:val="center"/>
              <w:rPr>
                <w:rFonts w:hint="eastAsia" w:ascii="宋体" w:hAnsi="宋体" w:cs="Cambria"/>
                <w:highlight w:val="none"/>
              </w:rPr>
            </w:pPr>
            <w:r>
              <w:rPr>
                <w:rFonts w:hint="eastAsia" w:ascii="宋体" w:hAnsi="宋体" w:cs="Cambria"/>
                <w:highlight w:val="none"/>
              </w:rPr>
              <w:t>董事</w:t>
            </w:r>
          </w:p>
        </w:tc>
      </w:tr>
      <w:tr w14:paraId="7F3D7C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4729D05D">
            <w:pPr>
              <w:keepNext w:val="0"/>
              <w:keepLines w:val="0"/>
              <w:widowControl/>
              <w:suppressLineNumbers w:val="0"/>
              <w:spacing w:before="0" w:beforeAutospacing="0" w:after="0" w:afterAutospacing="0"/>
              <w:ind w:left="0" w:right="0"/>
              <w:jc w:val="left"/>
              <w:rPr>
                <w:rFonts w:hint="eastAsia" w:ascii="宋体" w:hAnsi="宋体"/>
                <w:kern w:val="0"/>
                <w:highlight w:val="none"/>
              </w:rPr>
            </w:pPr>
            <w:r>
              <w:rPr>
                <w:rFonts w:hint="eastAsia" w:ascii="宋体" w:hAnsi="宋体"/>
                <w:kern w:val="0"/>
                <w:highlight w:val="none"/>
              </w:rPr>
              <w:t>董海达</w:t>
            </w:r>
          </w:p>
        </w:tc>
        <w:tc>
          <w:tcPr>
            <w:tcW w:w="2342" w:type="pct"/>
            <w:vAlign w:val="center"/>
          </w:tcPr>
          <w:p w14:paraId="46CBEC4A">
            <w:pPr>
              <w:keepNext w:val="0"/>
              <w:keepLines w:val="0"/>
              <w:suppressLineNumbers w:val="0"/>
              <w:spacing w:before="0" w:beforeAutospacing="0" w:after="0" w:afterAutospacing="0"/>
              <w:ind w:left="0" w:right="0"/>
              <w:jc w:val="center"/>
              <w:rPr>
                <w:rFonts w:hint="eastAsia" w:ascii="宋体" w:hAnsi="宋体" w:cs="Cambria"/>
                <w:highlight w:val="none"/>
              </w:rPr>
            </w:pPr>
            <w:r>
              <w:rPr>
                <w:rFonts w:hint="eastAsia" w:ascii="宋体" w:hAnsi="宋体" w:cs="Cambria"/>
                <w:highlight w:val="none"/>
              </w:rPr>
              <w:t>董事</w:t>
            </w:r>
          </w:p>
        </w:tc>
      </w:tr>
      <w:tr w14:paraId="04D51F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38AC5F69">
            <w:pPr>
              <w:keepNext w:val="0"/>
              <w:keepLines w:val="0"/>
              <w:widowControl/>
              <w:suppressLineNumbers w:val="0"/>
              <w:spacing w:before="0" w:beforeAutospacing="0" w:after="0" w:afterAutospacing="0"/>
              <w:ind w:left="0" w:right="0"/>
              <w:jc w:val="left"/>
              <w:rPr>
                <w:rFonts w:hint="eastAsia" w:ascii="宋体" w:hAnsi="宋体" w:eastAsia="宋体"/>
                <w:kern w:val="0"/>
                <w:highlight w:val="none"/>
                <w:lang w:val="en-US" w:eastAsia="zh-CN"/>
              </w:rPr>
            </w:pPr>
            <w:r>
              <w:rPr>
                <w:rFonts w:hint="eastAsia" w:ascii="宋体" w:hAnsi="宋体"/>
                <w:kern w:val="0"/>
                <w:highlight w:val="none"/>
                <w:lang w:val="en-US" w:eastAsia="zh-CN"/>
              </w:rPr>
              <w:t>张浩楠</w:t>
            </w:r>
          </w:p>
        </w:tc>
        <w:tc>
          <w:tcPr>
            <w:tcW w:w="2342" w:type="pct"/>
            <w:vAlign w:val="center"/>
          </w:tcPr>
          <w:p w14:paraId="6CEC5441">
            <w:pPr>
              <w:keepNext w:val="0"/>
              <w:keepLines w:val="0"/>
              <w:suppressLineNumbers w:val="0"/>
              <w:spacing w:before="0" w:beforeAutospacing="0" w:after="0" w:afterAutospacing="0"/>
              <w:ind w:left="0" w:right="0"/>
              <w:jc w:val="center"/>
              <w:rPr>
                <w:rFonts w:hint="default" w:ascii="宋体" w:hAnsi="宋体" w:eastAsia="宋体" w:cs="Cambria"/>
                <w:highlight w:val="none"/>
                <w:lang w:val="en-US" w:eastAsia="zh-CN"/>
              </w:rPr>
            </w:pPr>
            <w:r>
              <w:rPr>
                <w:rFonts w:hint="eastAsia" w:ascii="宋体" w:hAnsi="宋体" w:cs="Cambria"/>
                <w:highlight w:val="none"/>
                <w:lang w:val="en-US" w:eastAsia="zh-CN"/>
              </w:rPr>
              <w:t>监事长</w:t>
            </w:r>
          </w:p>
        </w:tc>
      </w:tr>
      <w:tr w14:paraId="327E4B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shd w:val="clear" w:color="auto" w:fill="auto"/>
            <w:vAlign w:val="center"/>
          </w:tcPr>
          <w:p w14:paraId="6B2714EE">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0"/>
                <w:sz w:val="21"/>
                <w:szCs w:val="21"/>
                <w:highlight w:val="none"/>
                <w:lang w:val="en-US" w:eastAsia="zh-CN" w:bidi="ar-SA"/>
              </w:rPr>
            </w:pPr>
            <w:r>
              <w:rPr>
                <w:rFonts w:hint="eastAsia" w:ascii="宋体" w:hAnsi="宋体"/>
                <w:kern w:val="0"/>
                <w:highlight w:val="none"/>
              </w:rPr>
              <w:t>徐晓坤</w:t>
            </w:r>
          </w:p>
        </w:tc>
        <w:tc>
          <w:tcPr>
            <w:tcW w:w="2342" w:type="pct"/>
            <w:shd w:val="clear" w:color="auto" w:fill="auto"/>
            <w:vAlign w:val="center"/>
          </w:tcPr>
          <w:p w14:paraId="7DCDE89A">
            <w:pPr>
              <w:keepNext w:val="0"/>
              <w:keepLines w:val="0"/>
              <w:suppressLineNumbers w:val="0"/>
              <w:spacing w:before="0" w:beforeAutospacing="0" w:after="0" w:afterAutospacing="0"/>
              <w:ind w:left="0" w:leftChars="0" w:right="0" w:rightChars="0"/>
              <w:jc w:val="center"/>
              <w:rPr>
                <w:rFonts w:hint="eastAsia" w:ascii="宋体" w:hAnsi="宋体" w:eastAsia="宋体" w:cs="Cambria"/>
                <w:kern w:val="2"/>
                <w:sz w:val="21"/>
                <w:szCs w:val="21"/>
                <w:highlight w:val="none"/>
                <w:lang w:val="en-US" w:eastAsia="zh-CN" w:bidi="ar-SA"/>
              </w:rPr>
            </w:pPr>
            <w:r>
              <w:rPr>
                <w:rFonts w:hint="eastAsia" w:ascii="宋体" w:hAnsi="宋体" w:cs="Cambria"/>
                <w:highlight w:val="none"/>
              </w:rPr>
              <w:t>职工监事</w:t>
            </w:r>
          </w:p>
        </w:tc>
      </w:tr>
      <w:tr w14:paraId="6FE592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exact"/>
        </w:trPr>
        <w:tc>
          <w:tcPr>
            <w:tcW w:w="2657" w:type="pct"/>
            <w:vAlign w:val="center"/>
          </w:tcPr>
          <w:p w14:paraId="0F46847B">
            <w:pPr>
              <w:keepNext w:val="0"/>
              <w:keepLines w:val="0"/>
              <w:widowControl/>
              <w:suppressLineNumbers w:val="0"/>
              <w:spacing w:before="0" w:beforeAutospacing="0" w:after="0" w:afterAutospacing="0"/>
              <w:ind w:left="0" w:right="0"/>
              <w:jc w:val="left"/>
              <w:rPr>
                <w:rFonts w:hint="default" w:ascii="宋体" w:hAnsi="宋体"/>
                <w:kern w:val="0"/>
                <w:highlight w:val="none"/>
                <w:lang w:val="en-US" w:eastAsia="zh-CN"/>
              </w:rPr>
            </w:pPr>
            <w:r>
              <w:rPr>
                <w:rFonts w:hint="eastAsia" w:ascii="宋体" w:hAnsi="宋体"/>
                <w:kern w:val="0"/>
                <w:highlight w:val="none"/>
                <w:lang w:val="en-US" w:eastAsia="zh-CN"/>
              </w:rPr>
              <w:t>李秋苓</w:t>
            </w:r>
          </w:p>
        </w:tc>
        <w:tc>
          <w:tcPr>
            <w:tcW w:w="2342" w:type="pct"/>
            <w:vAlign w:val="center"/>
          </w:tcPr>
          <w:p w14:paraId="7637F2EA">
            <w:pPr>
              <w:keepNext w:val="0"/>
              <w:keepLines w:val="0"/>
              <w:suppressLineNumbers w:val="0"/>
              <w:spacing w:before="0" w:beforeAutospacing="0" w:after="0" w:afterAutospacing="0"/>
              <w:ind w:left="0" w:right="0"/>
              <w:jc w:val="center"/>
              <w:rPr>
                <w:rFonts w:hint="default" w:ascii="宋体" w:hAnsi="宋体" w:cs="Cambria"/>
                <w:highlight w:val="none"/>
                <w:lang w:val="en-US" w:eastAsia="zh-CN"/>
              </w:rPr>
            </w:pPr>
            <w:r>
              <w:rPr>
                <w:rFonts w:hint="eastAsia" w:ascii="宋体" w:hAnsi="宋体" w:cs="Cambria"/>
                <w:highlight w:val="none"/>
                <w:lang w:val="en-US" w:eastAsia="zh-CN"/>
              </w:rPr>
              <w:t>监事</w:t>
            </w:r>
          </w:p>
        </w:tc>
      </w:tr>
    </w:tbl>
    <w:p w14:paraId="01C1E569">
      <w:pPr>
        <w:autoSpaceDE w:val="0"/>
        <w:autoSpaceDN w:val="0"/>
        <w:adjustRightInd w:val="0"/>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关联方交易情况</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259"/>
        <w:gridCol w:w="3164"/>
        <w:gridCol w:w="3099"/>
      </w:tblGrid>
      <w:tr w14:paraId="496501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54" w:hRule="atLeast"/>
          <w:tblHeader/>
          <w:jc w:val="center"/>
        </w:trPr>
        <w:tc>
          <w:tcPr>
            <w:tcW w:w="2259" w:type="dxa"/>
            <w:vMerge w:val="restart"/>
            <w:tcBorders>
              <w:top w:val="single" w:color="auto" w:sz="12" w:space="0"/>
            </w:tcBorders>
            <w:vAlign w:val="center"/>
          </w:tcPr>
          <w:p w14:paraId="291FC9F5">
            <w:pPr>
              <w:keepNext w:val="0"/>
              <w:keepLines w:val="0"/>
              <w:widowControl/>
              <w:suppressLineNumbers w:val="0"/>
              <w:spacing w:before="0" w:beforeAutospacing="0" w:after="0" w:afterAutospacing="0"/>
              <w:ind w:left="0" w:right="0" w:firstLine="360" w:firstLineChars="200"/>
              <w:jc w:val="center"/>
              <w:textAlignment w:val="center"/>
              <w:rPr>
                <w:rFonts w:hint="default" w:ascii="宋体" w:hAnsi="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项目</w:t>
            </w:r>
          </w:p>
        </w:tc>
        <w:tc>
          <w:tcPr>
            <w:tcW w:w="3164" w:type="dxa"/>
            <w:tcBorders>
              <w:top w:val="single" w:color="auto" w:sz="12" w:space="0"/>
              <w:tl2br w:val="single" w:color="auto" w:sz="4" w:space="0"/>
            </w:tcBorders>
            <w:vAlign w:val="center"/>
          </w:tcPr>
          <w:p w14:paraId="011293EA">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w:t>
            </w:r>
            <w:r>
              <w:rPr>
                <w:rStyle w:val="138"/>
                <w:highlight w:val="none"/>
                <w:lang w:val="en-US" w:eastAsia="zh-CN" w:bidi="ar"/>
              </w:rPr>
              <w:t>本年数</w:t>
            </w:r>
          </w:p>
        </w:tc>
        <w:tc>
          <w:tcPr>
            <w:tcW w:w="3099" w:type="dxa"/>
            <w:tcBorders>
              <w:top w:val="single" w:color="auto" w:sz="12" w:space="0"/>
              <w:tl2br w:val="single" w:color="auto" w:sz="4" w:space="0"/>
            </w:tcBorders>
            <w:vAlign w:val="center"/>
          </w:tcPr>
          <w:p w14:paraId="44DFF784">
            <w:pPr>
              <w:keepNext w:val="0"/>
              <w:keepLines w:val="0"/>
              <w:widowControl/>
              <w:suppressLineNumbers w:val="0"/>
              <w:spacing w:before="0" w:beforeAutospacing="0" w:after="0" w:afterAutospacing="0"/>
              <w:ind w:left="0" w:right="0"/>
              <w:jc w:val="center"/>
              <w:textAlignment w:val="center"/>
              <w:rPr>
                <w:rFonts w:hint="default" w:ascii="宋体" w:hAnsi="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w:t>
            </w:r>
            <w:r>
              <w:rPr>
                <w:rStyle w:val="138"/>
                <w:highlight w:val="none"/>
                <w:lang w:val="en-US" w:eastAsia="zh-CN" w:bidi="ar"/>
              </w:rPr>
              <w:t>上年数</w:t>
            </w:r>
          </w:p>
        </w:tc>
      </w:tr>
      <w:tr w14:paraId="12F8D6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Merge w:val="continue"/>
            <w:vAlign w:val="center"/>
          </w:tcPr>
          <w:p w14:paraId="5757E436">
            <w:pPr>
              <w:keepNext w:val="0"/>
              <w:keepLines w:val="0"/>
              <w:suppressLineNumbers w:val="0"/>
              <w:spacing w:before="0" w:beforeAutospacing="0" w:after="0" w:afterAutospacing="0"/>
              <w:ind w:left="0" w:right="0"/>
              <w:jc w:val="center"/>
              <w:rPr>
                <w:rFonts w:hint="default" w:ascii="宋体" w:hAnsi="宋体"/>
                <w:kern w:val="0"/>
                <w:highlight w:val="none"/>
              </w:rPr>
            </w:pPr>
          </w:p>
        </w:tc>
        <w:tc>
          <w:tcPr>
            <w:tcW w:w="3164" w:type="dxa"/>
            <w:vAlign w:val="center"/>
          </w:tcPr>
          <w:p w14:paraId="59FFE1A1">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18"/>
                <w:szCs w:val="18"/>
                <w:highlight w:val="none"/>
                <w:u w:val="none"/>
                <w:lang w:val="en-US" w:eastAsia="zh-CN" w:bidi="ar"/>
              </w:rPr>
              <w:t>期末余额</w:t>
            </w:r>
          </w:p>
        </w:tc>
        <w:tc>
          <w:tcPr>
            <w:tcW w:w="3099" w:type="dxa"/>
            <w:vAlign w:val="center"/>
          </w:tcPr>
          <w:p w14:paraId="11BD53ED">
            <w:pPr>
              <w:keepNext w:val="0"/>
              <w:keepLines w:val="0"/>
              <w:widowControl/>
              <w:suppressLineNumbers w:val="0"/>
              <w:spacing w:before="0" w:beforeAutospacing="0" w:after="0" w:afterAutospacing="0"/>
              <w:ind w:left="0" w:right="0"/>
              <w:jc w:val="both"/>
              <w:textAlignment w:val="center"/>
              <w:rPr>
                <w:rFonts w:hint="default" w:ascii="宋体" w:hAnsi="宋体"/>
                <w:highlight w:val="none"/>
              </w:rPr>
            </w:pPr>
            <w:r>
              <w:rPr>
                <w:rFonts w:hint="eastAsia" w:ascii="宋体" w:hAnsi="宋体" w:eastAsia="宋体" w:cs="宋体"/>
                <w:i w:val="0"/>
                <w:iCs w:val="0"/>
                <w:color w:val="000000"/>
                <w:kern w:val="0"/>
                <w:sz w:val="18"/>
                <w:szCs w:val="18"/>
                <w:highlight w:val="none"/>
                <w:u w:val="none"/>
                <w:lang w:val="en-US" w:eastAsia="zh-CN" w:bidi="ar"/>
              </w:rPr>
              <w:t>上年年末余额</w:t>
            </w:r>
          </w:p>
        </w:tc>
      </w:tr>
      <w:tr w14:paraId="0A354E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2A84A7B1">
            <w:pPr>
              <w:keepNext w:val="0"/>
              <w:keepLines w:val="0"/>
              <w:widowControl/>
              <w:suppressLineNumbers w:val="0"/>
              <w:spacing w:before="0" w:beforeAutospacing="0" w:after="0" w:afterAutospacing="0"/>
              <w:ind w:left="0" w:right="0"/>
              <w:jc w:val="lef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贷款利息收入</w:t>
            </w:r>
          </w:p>
        </w:tc>
        <w:tc>
          <w:tcPr>
            <w:tcW w:w="3164" w:type="dxa"/>
            <w:vAlign w:val="center"/>
          </w:tcPr>
          <w:p w14:paraId="7ED232CA">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961,989.91 </w:t>
            </w:r>
          </w:p>
        </w:tc>
        <w:tc>
          <w:tcPr>
            <w:tcW w:w="3099" w:type="dxa"/>
            <w:shd w:val="clear" w:color="auto" w:fill="auto"/>
            <w:vAlign w:val="center"/>
          </w:tcPr>
          <w:p w14:paraId="20F7DC86">
            <w:pPr>
              <w:keepNext w:val="0"/>
              <w:keepLines w:val="0"/>
              <w:suppressLineNumbers w:val="0"/>
              <w:spacing w:before="0" w:beforeAutospacing="0" w:after="0" w:afterAutospacing="0"/>
              <w:ind w:left="0" w:leftChars="0" w:right="0" w:rightChars="0"/>
              <w:jc w:val="right"/>
              <w:rPr>
                <w:rFonts w:hint="default" w:ascii="宋体" w:hAnsi="宋体" w:eastAsia="宋体" w:cs="Times New Roman"/>
                <w:kern w:val="2"/>
                <w:sz w:val="21"/>
                <w:szCs w:val="21"/>
                <w:highlight w:val="none"/>
                <w:lang w:val="en-US" w:eastAsia="zh-CN" w:bidi="ar-SA"/>
              </w:rPr>
            </w:pPr>
            <w:r>
              <w:rPr>
                <w:rFonts w:hint="default" w:ascii="宋体" w:hAnsi="宋体"/>
                <w:highlight w:val="none"/>
              </w:rPr>
              <w:t xml:space="preserve">209,947.50 </w:t>
            </w:r>
          </w:p>
        </w:tc>
      </w:tr>
      <w:tr w14:paraId="514CD0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4E8E633C">
            <w:pPr>
              <w:keepNext w:val="0"/>
              <w:keepLines w:val="0"/>
              <w:widowControl/>
              <w:suppressLineNumbers w:val="0"/>
              <w:spacing w:before="0" w:beforeAutospacing="0" w:after="0" w:afterAutospacing="0"/>
              <w:ind w:left="0" w:right="0"/>
              <w:jc w:val="lef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存款利息支出</w:t>
            </w:r>
          </w:p>
        </w:tc>
        <w:tc>
          <w:tcPr>
            <w:tcW w:w="3164" w:type="dxa"/>
            <w:vAlign w:val="center"/>
          </w:tcPr>
          <w:p w14:paraId="077DFDDF">
            <w:pPr>
              <w:keepNext w:val="0"/>
              <w:keepLines w:val="0"/>
              <w:suppressLineNumbers w:val="0"/>
              <w:spacing w:before="0" w:beforeAutospacing="0" w:after="0" w:afterAutospacing="0"/>
              <w:ind w:left="0" w:right="0"/>
              <w:jc w:val="right"/>
              <w:rPr>
                <w:rFonts w:hint="default" w:ascii="宋体" w:hAnsi="宋体"/>
                <w:highlight w:val="none"/>
              </w:rPr>
            </w:pPr>
          </w:p>
        </w:tc>
        <w:tc>
          <w:tcPr>
            <w:tcW w:w="3099" w:type="dxa"/>
            <w:shd w:val="clear" w:color="auto" w:fill="auto"/>
            <w:vAlign w:val="center"/>
          </w:tcPr>
          <w:p w14:paraId="64464DC5">
            <w:pPr>
              <w:keepNext w:val="0"/>
              <w:keepLines w:val="0"/>
              <w:suppressLineNumbers w:val="0"/>
              <w:spacing w:before="0" w:beforeAutospacing="0" w:after="0" w:afterAutospacing="0"/>
              <w:ind w:left="0" w:leftChars="0" w:right="0" w:rightChars="0"/>
              <w:jc w:val="right"/>
              <w:rPr>
                <w:rFonts w:hint="default" w:ascii="宋体" w:hAnsi="宋体" w:eastAsia="宋体" w:cs="Times New Roman"/>
                <w:kern w:val="2"/>
                <w:sz w:val="21"/>
                <w:szCs w:val="21"/>
                <w:highlight w:val="none"/>
                <w:lang w:val="en-US" w:eastAsia="zh-CN" w:bidi="ar-SA"/>
              </w:rPr>
            </w:pPr>
          </w:p>
        </w:tc>
      </w:tr>
      <w:tr w14:paraId="027045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1C52CF51">
            <w:pPr>
              <w:keepNext w:val="0"/>
              <w:keepLines w:val="0"/>
              <w:widowControl/>
              <w:suppressLineNumbers w:val="0"/>
              <w:spacing w:before="0" w:beforeAutospacing="0" w:after="0" w:afterAutospacing="0"/>
              <w:ind w:left="0" w:right="0"/>
              <w:jc w:val="left"/>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贷款余额</w:t>
            </w:r>
          </w:p>
        </w:tc>
        <w:tc>
          <w:tcPr>
            <w:tcW w:w="3164" w:type="dxa"/>
            <w:vAlign w:val="center"/>
          </w:tcPr>
          <w:p w14:paraId="07561D75">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14,765,000.00 </w:t>
            </w:r>
          </w:p>
        </w:tc>
        <w:tc>
          <w:tcPr>
            <w:tcW w:w="3099" w:type="dxa"/>
            <w:shd w:val="clear" w:color="auto" w:fill="auto"/>
            <w:vAlign w:val="center"/>
          </w:tcPr>
          <w:p w14:paraId="306F53FA">
            <w:pPr>
              <w:keepNext w:val="0"/>
              <w:keepLines w:val="0"/>
              <w:suppressLineNumbers w:val="0"/>
              <w:spacing w:before="0" w:beforeAutospacing="0" w:after="0" w:afterAutospacing="0"/>
              <w:ind w:left="0" w:leftChars="0" w:right="0" w:rightChars="0"/>
              <w:jc w:val="right"/>
              <w:rPr>
                <w:rFonts w:hint="default" w:ascii="宋体" w:hAnsi="宋体" w:eastAsia="宋体" w:cs="Times New Roman"/>
                <w:kern w:val="2"/>
                <w:sz w:val="21"/>
                <w:szCs w:val="21"/>
                <w:highlight w:val="none"/>
                <w:lang w:val="en-US" w:eastAsia="zh-CN" w:bidi="ar-SA"/>
              </w:rPr>
            </w:pPr>
            <w:r>
              <w:rPr>
                <w:rFonts w:hint="default" w:ascii="宋体" w:hAnsi="宋体"/>
                <w:highlight w:val="none"/>
              </w:rPr>
              <w:t xml:space="preserve">3,950,000.00 </w:t>
            </w:r>
          </w:p>
        </w:tc>
      </w:tr>
      <w:tr w14:paraId="49256E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18EA9A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其中：重大关联交易</w:t>
            </w:r>
          </w:p>
        </w:tc>
        <w:tc>
          <w:tcPr>
            <w:tcW w:w="3164" w:type="dxa"/>
            <w:shd w:val="clear" w:color="auto" w:fill="auto"/>
            <w:vAlign w:val="center"/>
          </w:tcPr>
          <w:p w14:paraId="73E4D9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14,350,000.00 </w:t>
            </w:r>
          </w:p>
        </w:tc>
        <w:tc>
          <w:tcPr>
            <w:tcW w:w="3099" w:type="dxa"/>
            <w:shd w:val="clear" w:color="auto" w:fill="auto"/>
            <w:vAlign w:val="center"/>
          </w:tcPr>
          <w:p w14:paraId="3029EDB1">
            <w:pPr>
              <w:keepNext w:val="0"/>
              <w:keepLines w:val="0"/>
              <w:suppressLineNumbers w:val="0"/>
              <w:spacing w:before="0" w:beforeAutospacing="0" w:after="0" w:afterAutospacing="0"/>
              <w:ind w:left="0" w:leftChars="0" w:right="0" w:rightChars="0"/>
              <w:jc w:val="right"/>
              <w:rPr>
                <w:rFonts w:hint="default" w:ascii="宋体" w:hAnsi="宋体"/>
                <w:highlight w:val="none"/>
              </w:rPr>
            </w:pPr>
            <w:r>
              <w:rPr>
                <w:rFonts w:hint="default" w:ascii="宋体" w:hAnsi="宋体"/>
                <w:highlight w:val="none"/>
              </w:rPr>
              <w:t>3,950,000.00</w:t>
            </w:r>
          </w:p>
        </w:tc>
      </w:tr>
      <w:tr w14:paraId="12F8F2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5BDE2AD0">
            <w:pPr>
              <w:keepNext w:val="0"/>
              <w:keepLines w:val="0"/>
              <w:widowControl/>
              <w:suppressLineNumbers w:val="0"/>
              <w:spacing w:before="0" w:beforeAutospacing="0" w:after="0" w:afterAutospacing="0"/>
              <w:ind w:left="0" w:right="0"/>
              <w:jc w:val="left"/>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存款余额</w:t>
            </w:r>
          </w:p>
        </w:tc>
        <w:tc>
          <w:tcPr>
            <w:tcW w:w="3164" w:type="dxa"/>
            <w:vAlign w:val="center"/>
          </w:tcPr>
          <w:p w14:paraId="3CE09845">
            <w:pPr>
              <w:keepNext w:val="0"/>
              <w:keepLines w:val="0"/>
              <w:suppressLineNumbers w:val="0"/>
              <w:spacing w:before="0" w:beforeAutospacing="0" w:after="0" w:afterAutospacing="0"/>
              <w:ind w:left="0" w:right="0"/>
              <w:jc w:val="right"/>
              <w:rPr>
                <w:rFonts w:hint="default" w:ascii="宋体" w:hAnsi="宋体"/>
                <w:highlight w:val="none"/>
              </w:rPr>
            </w:pPr>
          </w:p>
        </w:tc>
        <w:tc>
          <w:tcPr>
            <w:tcW w:w="3099" w:type="dxa"/>
            <w:shd w:val="clear" w:color="auto" w:fill="auto"/>
            <w:vAlign w:val="center"/>
          </w:tcPr>
          <w:p w14:paraId="414CD61F">
            <w:pPr>
              <w:keepNext w:val="0"/>
              <w:keepLines w:val="0"/>
              <w:suppressLineNumbers w:val="0"/>
              <w:spacing w:before="0" w:beforeAutospacing="0" w:after="0" w:afterAutospacing="0"/>
              <w:ind w:left="0" w:leftChars="0" w:right="0" w:rightChars="0"/>
              <w:jc w:val="right"/>
              <w:rPr>
                <w:rFonts w:hint="default" w:ascii="宋体" w:hAnsi="宋体" w:eastAsia="宋体" w:cs="Times New Roman"/>
                <w:kern w:val="2"/>
                <w:sz w:val="21"/>
                <w:szCs w:val="21"/>
                <w:highlight w:val="none"/>
                <w:lang w:val="en-US" w:eastAsia="zh-CN" w:bidi="ar-SA"/>
              </w:rPr>
            </w:pPr>
          </w:p>
        </w:tc>
      </w:tr>
      <w:tr w14:paraId="3A8E86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5612BB64">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存放同业利息收入</w:t>
            </w:r>
          </w:p>
        </w:tc>
        <w:tc>
          <w:tcPr>
            <w:tcW w:w="3164" w:type="dxa"/>
            <w:vAlign w:val="center"/>
          </w:tcPr>
          <w:p w14:paraId="2EFCF1A7">
            <w:pPr>
              <w:keepNext w:val="0"/>
              <w:keepLines w:val="0"/>
              <w:suppressLineNumbers w:val="0"/>
              <w:spacing w:before="0" w:beforeAutospacing="0" w:after="0" w:afterAutospacing="0"/>
              <w:ind w:left="0" w:right="0"/>
              <w:jc w:val="right"/>
              <w:rPr>
                <w:rFonts w:hint="default" w:ascii="宋体" w:hAnsi="宋体"/>
                <w:highlight w:val="none"/>
              </w:rPr>
            </w:pPr>
          </w:p>
        </w:tc>
        <w:tc>
          <w:tcPr>
            <w:tcW w:w="3099" w:type="dxa"/>
            <w:shd w:val="clear" w:color="auto" w:fill="auto"/>
            <w:vAlign w:val="center"/>
          </w:tcPr>
          <w:p w14:paraId="4774695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Times New Roman"/>
                <w:kern w:val="2"/>
                <w:sz w:val="21"/>
                <w:szCs w:val="21"/>
                <w:highlight w:val="none"/>
                <w:lang w:val="en-US" w:eastAsia="zh-CN" w:bidi="ar-SA"/>
              </w:rPr>
            </w:pPr>
          </w:p>
        </w:tc>
      </w:tr>
      <w:tr w14:paraId="321AD0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vAlign w:val="center"/>
          </w:tcPr>
          <w:p w14:paraId="6E5BB2B6">
            <w:pPr>
              <w:keepNext w:val="0"/>
              <w:keepLines w:val="0"/>
              <w:widowControl/>
              <w:suppressLineNumbers w:val="0"/>
              <w:spacing w:before="0" w:beforeAutospacing="0" w:after="0" w:afterAutospacing="0"/>
              <w:ind w:left="0" w:right="0"/>
              <w:jc w:val="both"/>
              <w:textAlignment w:val="center"/>
              <w:rPr>
                <w:rFonts w:hint="default" w:ascii="宋体" w:hAnsi="宋体" w:cs="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同业存放利息支出</w:t>
            </w:r>
          </w:p>
        </w:tc>
        <w:tc>
          <w:tcPr>
            <w:tcW w:w="3164" w:type="dxa"/>
            <w:vAlign w:val="center"/>
          </w:tcPr>
          <w:p w14:paraId="7E43426E">
            <w:pPr>
              <w:keepNext w:val="0"/>
              <w:keepLines w:val="0"/>
              <w:suppressLineNumbers w:val="0"/>
              <w:spacing w:before="0" w:beforeAutospacing="0" w:after="0" w:afterAutospacing="0"/>
              <w:ind w:left="0" w:right="0"/>
              <w:jc w:val="right"/>
              <w:rPr>
                <w:rFonts w:hint="default" w:ascii="宋体" w:hAnsi="宋体"/>
                <w:highlight w:val="none"/>
              </w:rPr>
            </w:pPr>
          </w:p>
        </w:tc>
        <w:tc>
          <w:tcPr>
            <w:tcW w:w="3099" w:type="dxa"/>
            <w:shd w:val="clear" w:color="auto" w:fill="auto"/>
            <w:vAlign w:val="center"/>
          </w:tcPr>
          <w:p w14:paraId="409886C1">
            <w:pPr>
              <w:keepNext w:val="0"/>
              <w:keepLines w:val="0"/>
              <w:suppressLineNumbers w:val="0"/>
              <w:spacing w:before="0" w:beforeAutospacing="0" w:after="0" w:afterAutospacing="0"/>
              <w:ind w:left="0" w:leftChars="0" w:right="0" w:rightChars="0"/>
              <w:jc w:val="right"/>
              <w:rPr>
                <w:rFonts w:hint="default" w:ascii="宋体" w:hAnsi="宋体" w:eastAsia="宋体" w:cs="Times New Roman"/>
                <w:kern w:val="2"/>
                <w:sz w:val="21"/>
                <w:szCs w:val="21"/>
                <w:highlight w:val="none"/>
                <w:lang w:val="en-US" w:eastAsia="zh-CN" w:bidi="ar-SA"/>
              </w:rPr>
            </w:pPr>
          </w:p>
        </w:tc>
      </w:tr>
      <w:tr w14:paraId="00900B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2259" w:type="dxa"/>
            <w:tcBorders>
              <w:bottom w:val="single" w:color="auto" w:sz="12" w:space="0"/>
            </w:tcBorders>
            <w:vAlign w:val="center"/>
          </w:tcPr>
          <w:p w14:paraId="7756CA74">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存放同业余额</w:t>
            </w:r>
          </w:p>
        </w:tc>
        <w:tc>
          <w:tcPr>
            <w:tcW w:w="3164" w:type="dxa"/>
            <w:tcBorders>
              <w:bottom w:val="single" w:color="auto" w:sz="12" w:space="0"/>
            </w:tcBorders>
            <w:vAlign w:val="center"/>
          </w:tcPr>
          <w:p w14:paraId="6346D3E2">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2"/>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1.01 </w:t>
            </w:r>
          </w:p>
        </w:tc>
        <w:tc>
          <w:tcPr>
            <w:tcW w:w="3099" w:type="dxa"/>
            <w:tcBorders>
              <w:bottom w:val="single" w:color="auto" w:sz="12" w:space="0"/>
            </w:tcBorders>
            <w:shd w:val="clear" w:color="auto" w:fill="auto"/>
            <w:vAlign w:val="center"/>
          </w:tcPr>
          <w:p w14:paraId="5859DFB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val="0"/>
                <w:bCs w:val="0"/>
                <w:color w:val="000000"/>
                <w:kern w:val="2"/>
                <w:sz w:val="22"/>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 1.01</w:t>
            </w:r>
          </w:p>
        </w:tc>
      </w:tr>
    </w:tbl>
    <w:p w14:paraId="2AD3D1D6">
      <w:pPr>
        <w:pStyle w:val="20"/>
        <w:spacing w:before="0" w:after="0" w:line="480" w:lineRule="exact"/>
        <w:ind w:firstLine="562" w:firstLineChars="200"/>
        <w:jc w:val="both"/>
        <w:rPr>
          <w:rFonts w:hint="eastAsia" w:ascii="宋体" w:hAnsi="宋体" w:cs="宋体"/>
          <w:sz w:val="28"/>
          <w:szCs w:val="28"/>
          <w:highlight w:val="none"/>
        </w:rPr>
      </w:pPr>
    </w:p>
    <w:p w14:paraId="4F1BFA6B">
      <w:pPr>
        <w:pStyle w:val="20"/>
        <w:spacing w:before="0" w:after="0" w:line="480" w:lineRule="exact"/>
        <w:ind w:firstLine="562" w:firstLineChars="200"/>
        <w:jc w:val="both"/>
        <w:rPr>
          <w:rFonts w:ascii="宋体" w:hAnsi="宋体" w:cs="宋体"/>
          <w:sz w:val="28"/>
          <w:szCs w:val="28"/>
          <w:highlight w:val="none"/>
        </w:rPr>
      </w:pPr>
      <w:r>
        <w:rPr>
          <w:rFonts w:hint="eastAsia" w:ascii="宋体" w:hAnsi="宋体" w:cs="宋体"/>
          <w:sz w:val="28"/>
          <w:szCs w:val="28"/>
          <w:highlight w:val="none"/>
        </w:rPr>
        <w:t>九、金融风险管理</w:t>
      </w:r>
    </w:p>
    <w:p w14:paraId="059B026A">
      <w:pPr>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本村镇银行在经营中主要面临以下风险：信用风险、流动性风险、市场风险、操作风险等。</w:t>
      </w:r>
    </w:p>
    <w:p w14:paraId="03D169D8">
      <w:pPr>
        <w:pStyle w:val="3"/>
        <w:keepNext w:val="0"/>
        <w:keepLines w:val="0"/>
        <w:tabs>
          <w:tab w:val="left" w:pos="851"/>
        </w:tabs>
        <w:spacing w:before="0" w:after="0" w:line="480" w:lineRule="exact"/>
        <w:ind w:firstLine="480"/>
        <w:rPr>
          <w:rFonts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一</w:t>
      </w:r>
      <w:r>
        <w:rPr>
          <w:rFonts w:hint="eastAsia" w:ascii="宋体" w:hAnsi="宋体" w:eastAsia="宋体" w:cs="宋体"/>
          <w:bCs w:val="0"/>
          <w:sz w:val="24"/>
          <w:szCs w:val="24"/>
          <w:highlight w:val="none"/>
        </w:rPr>
        <w:t>）信用风险及对策</w:t>
      </w:r>
    </w:p>
    <w:p w14:paraId="49D96E95">
      <w:pPr>
        <w:autoSpaceDE w:val="0"/>
        <w:autoSpaceDN w:val="0"/>
        <w:adjustRightInd w:val="0"/>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信用风险，又称违约风险，是指交易对手因各种原因未能履行契约中约定的可能性和由于交易对手信用等级下降所产生损失，从交易对手的行为特征上可以分为信用能力和信用意愿。本村镇银行承担信用风险的资产包括各项贷款、存放同业款项、应收利息、其他应收款等。</w:t>
      </w:r>
    </w:p>
    <w:p w14:paraId="1F8CB941">
      <w:pPr>
        <w:autoSpaceDE w:val="0"/>
        <w:autoSpaceDN w:val="0"/>
        <w:adjustRightInd w:val="0"/>
        <w:spacing w:line="48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对策：本村镇银行通过完善信用风险管理制度和流程，加强风险预警，切实提高信用风险的管控。1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严格执行《霸州舜丰村镇银行信贷管理暂行办法》，包括信贷政策制定、授信前尽职调查、客户信用评级、担保评估、贷款审查审批、贷后管理、不良贷款管理、责任追究等环节在内的信用风险控制流程。2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印发了《霸州舜丰村镇银行信贷业务基本规程》对贷前、贷中和贷后的风险由客户经理进行有效识别。3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加强授信管理动态监测，授信后随时监测客户生产经营中的变化，认真收集可能影响客户经营变化的各种信息，把握客户经营风险。4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通过明确贷款审批权限，加强对贷款审批的管理，本村镇银行实行贷款提报贷款审查委员会审议，贷审会由</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名委员组成，5名具有投票权，三分之二以上通过方可提报审批，贷款审查委员会主任由主管行长担任，具有一票否决权。5</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村镇银行严格执行《霸州舜丰村镇银行风险预警及报告制度》，客户经理在实际业务中，需定期对客户进行调查，发现任何触碰风险预警红线的问题，都要第一时间，以书面的形式上报，并提出处理意见。相关部门接到报告后，要第一时间反应，并逐笔向上级报告。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本村镇银行严格对逾期贷款的管理，实行逾期贷款责任追究制度。对形成不良资产的贷款一经认定后，将负有责任的各级授信业务调查人员、审查人员以及审批人员上报相关部门进行责任认定，追究相关责任。</w:t>
      </w:r>
    </w:p>
    <w:p w14:paraId="20C928D3">
      <w:pPr>
        <w:autoSpaceDE w:val="0"/>
        <w:autoSpaceDN w:val="0"/>
        <w:adjustRightInd w:val="0"/>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资产负债表项目最大信用风险敞口：</w:t>
      </w:r>
    </w:p>
    <w:tbl>
      <w:tblPr>
        <w:tblStyle w:val="22"/>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983"/>
        <w:gridCol w:w="2235"/>
        <w:gridCol w:w="2304"/>
      </w:tblGrid>
      <w:tr w14:paraId="033D7E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blHeader/>
          <w:jc w:val="center"/>
        </w:trPr>
        <w:tc>
          <w:tcPr>
            <w:tcW w:w="3983" w:type="dxa"/>
            <w:tcBorders>
              <w:top w:val="single" w:color="auto" w:sz="12" w:space="0"/>
            </w:tcBorders>
            <w:vAlign w:val="center"/>
          </w:tcPr>
          <w:p w14:paraId="2DE48D9D">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2235" w:type="dxa"/>
            <w:tcBorders>
              <w:top w:val="single" w:color="auto" w:sz="12" w:space="0"/>
            </w:tcBorders>
            <w:vAlign w:val="bottom"/>
          </w:tcPr>
          <w:p w14:paraId="1357810C">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本期数</w:t>
            </w:r>
          </w:p>
        </w:tc>
        <w:tc>
          <w:tcPr>
            <w:tcW w:w="2304" w:type="dxa"/>
            <w:tcBorders>
              <w:top w:val="single" w:color="auto" w:sz="12" w:space="0"/>
            </w:tcBorders>
            <w:vAlign w:val="bottom"/>
          </w:tcPr>
          <w:p w14:paraId="6C4D9FFB">
            <w:pPr>
              <w:keepNext w:val="0"/>
              <w:keepLines w:val="0"/>
              <w:widowControl/>
              <w:suppressLineNumbers w:val="0"/>
              <w:spacing w:before="0" w:beforeAutospacing="0" w:after="0" w:afterAutospacing="0"/>
              <w:ind w:left="0" w:right="0"/>
              <w:jc w:val="center"/>
              <w:textAlignment w:val="bottom"/>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上期数</w:t>
            </w:r>
          </w:p>
        </w:tc>
      </w:tr>
      <w:tr w14:paraId="3BAE1C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8522" w:type="dxa"/>
            <w:gridSpan w:val="3"/>
            <w:vAlign w:val="center"/>
          </w:tcPr>
          <w:p w14:paraId="0F958AD1">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（1）资产负债表项目的信用风险敞口包括</w:t>
            </w:r>
          </w:p>
        </w:tc>
      </w:tr>
      <w:tr w14:paraId="1A2CBE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52C95D75">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存放同业款项</w:t>
            </w:r>
          </w:p>
        </w:tc>
        <w:tc>
          <w:tcPr>
            <w:tcW w:w="2235" w:type="dxa"/>
            <w:vAlign w:val="center"/>
          </w:tcPr>
          <w:p w14:paraId="69518EA1">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73,542,905.63</w:t>
            </w:r>
          </w:p>
        </w:tc>
        <w:tc>
          <w:tcPr>
            <w:tcW w:w="2304" w:type="dxa"/>
            <w:vAlign w:val="center"/>
          </w:tcPr>
          <w:p w14:paraId="08FD8B8E">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158,118,521.15</w:t>
            </w:r>
          </w:p>
        </w:tc>
      </w:tr>
      <w:tr w14:paraId="2AB31D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72FA92EE">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存放中央银行款项</w:t>
            </w:r>
          </w:p>
        </w:tc>
        <w:tc>
          <w:tcPr>
            <w:tcW w:w="2235" w:type="dxa"/>
            <w:vAlign w:val="center"/>
          </w:tcPr>
          <w:p w14:paraId="0E19DCC5">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64,576,932.63</w:t>
            </w:r>
          </w:p>
        </w:tc>
        <w:tc>
          <w:tcPr>
            <w:tcW w:w="2304" w:type="dxa"/>
            <w:vAlign w:val="center"/>
          </w:tcPr>
          <w:p w14:paraId="18EAFA40">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113,521,080.06</w:t>
            </w:r>
          </w:p>
        </w:tc>
      </w:tr>
      <w:tr w14:paraId="04FC83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0F791188">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拆出资金</w:t>
            </w:r>
          </w:p>
        </w:tc>
        <w:tc>
          <w:tcPr>
            <w:tcW w:w="2235" w:type="dxa"/>
            <w:vAlign w:val="center"/>
          </w:tcPr>
          <w:p w14:paraId="795501A5">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4BE88777">
            <w:pPr>
              <w:keepNext w:val="0"/>
              <w:keepLines w:val="0"/>
              <w:suppressLineNumbers w:val="0"/>
              <w:spacing w:before="0" w:beforeAutospacing="0" w:after="0" w:afterAutospacing="0"/>
              <w:ind w:left="0" w:right="0"/>
              <w:jc w:val="right"/>
              <w:rPr>
                <w:rFonts w:hint="default" w:ascii="宋体" w:hAnsi="宋体"/>
                <w:highlight w:val="none"/>
              </w:rPr>
            </w:pPr>
          </w:p>
        </w:tc>
      </w:tr>
      <w:tr w14:paraId="0B6D6A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1F4D96DD">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交易性金融资产</w:t>
            </w:r>
          </w:p>
        </w:tc>
        <w:tc>
          <w:tcPr>
            <w:tcW w:w="2235" w:type="dxa"/>
            <w:vAlign w:val="center"/>
          </w:tcPr>
          <w:p w14:paraId="29A7B293">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33CA013D">
            <w:pPr>
              <w:keepNext w:val="0"/>
              <w:keepLines w:val="0"/>
              <w:suppressLineNumbers w:val="0"/>
              <w:spacing w:before="0" w:beforeAutospacing="0" w:after="0" w:afterAutospacing="0"/>
              <w:ind w:left="0" w:right="0"/>
              <w:jc w:val="right"/>
              <w:rPr>
                <w:rFonts w:hint="default" w:ascii="宋体" w:hAnsi="宋体"/>
                <w:highlight w:val="none"/>
              </w:rPr>
            </w:pPr>
          </w:p>
        </w:tc>
      </w:tr>
      <w:tr w14:paraId="0E03EF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18A9396E">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衍生金融资产</w:t>
            </w:r>
          </w:p>
        </w:tc>
        <w:tc>
          <w:tcPr>
            <w:tcW w:w="2235" w:type="dxa"/>
            <w:vAlign w:val="center"/>
          </w:tcPr>
          <w:p w14:paraId="56C237E7">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5BEFE2A9">
            <w:pPr>
              <w:keepNext w:val="0"/>
              <w:keepLines w:val="0"/>
              <w:suppressLineNumbers w:val="0"/>
              <w:spacing w:before="0" w:beforeAutospacing="0" w:after="0" w:afterAutospacing="0"/>
              <w:ind w:left="0" w:right="0"/>
              <w:jc w:val="right"/>
              <w:rPr>
                <w:rFonts w:hint="default" w:ascii="宋体" w:hAnsi="宋体"/>
                <w:highlight w:val="none"/>
              </w:rPr>
            </w:pPr>
          </w:p>
        </w:tc>
      </w:tr>
      <w:tr w14:paraId="668E42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2E84A568">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买入返售金融资产</w:t>
            </w:r>
          </w:p>
        </w:tc>
        <w:tc>
          <w:tcPr>
            <w:tcW w:w="2235" w:type="dxa"/>
            <w:vAlign w:val="center"/>
          </w:tcPr>
          <w:p w14:paraId="609ABEDE">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4375B6BE">
            <w:pPr>
              <w:keepNext w:val="0"/>
              <w:keepLines w:val="0"/>
              <w:suppressLineNumbers w:val="0"/>
              <w:spacing w:before="0" w:beforeAutospacing="0" w:after="0" w:afterAutospacing="0"/>
              <w:ind w:left="0" w:right="0"/>
              <w:jc w:val="right"/>
              <w:rPr>
                <w:rFonts w:hint="default" w:ascii="宋体" w:hAnsi="宋体"/>
                <w:highlight w:val="none"/>
              </w:rPr>
            </w:pPr>
          </w:p>
        </w:tc>
      </w:tr>
      <w:tr w14:paraId="56DB26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0D341F35">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发放贷款和垫款</w:t>
            </w:r>
          </w:p>
        </w:tc>
        <w:tc>
          <w:tcPr>
            <w:tcW w:w="2235" w:type="dxa"/>
            <w:vAlign w:val="center"/>
          </w:tcPr>
          <w:p w14:paraId="4E69101F">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957,603,709.15</w:t>
            </w:r>
          </w:p>
        </w:tc>
        <w:tc>
          <w:tcPr>
            <w:tcW w:w="2304" w:type="dxa"/>
            <w:vAlign w:val="center"/>
          </w:tcPr>
          <w:p w14:paraId="37340EAB">
            <w:pPr>
              <w:keepNext w:val="0"/>
              <w:keepLines w:val="0"/>
              <w:widowControl/>
              <w:suppressLineNumbers w:val="0"/>
              <w:spacing w:before="0" w:beforeAutospacing="0" w:after="0" w:afterAutospacing="0"/>
              <w:ind w:left="0" w:right="0"/>
              <w:jc w:val="right"/>
              <w:textAlignment w:val="center"/>
              <w:rPr>
                <w:rFonts w:hint="default" w:ascii="宋体" w:hAnsi="宋体"/>
                <w:highlight w:val="none"/>
              </w:rPr>
            </w:pPr>
            <w:r>
              <w:rPr>
                <w:rFonts w:hint="eastAsia" w:ascii="宋体" w:hAnsi="宋体" w:eastAsia="宋体" w:cs="宋体"/>
                <w:i w:val="0"/>
                <w:iCs w:val="0"/>
                <w:color w:val="000000"/>
                <w:kern w:val="0"/>
                <w:sz w:val="21"/>
                <w:szCs w:val="21"/>
                <w:highlight w:val="none"/>
                <w:u w:val="none"/>
                <w:lang w:val="en-US" w:eastAsia="zh-CN" w:bidi="ar"/>
              </w:rPr>
              <w:t>928,867,101.45</w:t>
            </w:r>
          </w:p>
        </w:tc>
      </w:tr>
      <w:tr w14:paraId="26CA23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721561F5">
            <w:pPr>
              <w:keepNext w:val="0"/>
              <w:keepLines w:val="0"/>
              <w:widowControl/>
              <w:suppressLineNumbers w:val="0"/>
              <w:spacing w:before="0" w:beforeAutospacing="0" w:after="0" w:afterAutospacing="0"/>
              <w:ind w:left="0" w:right="0"/>
              <w:jc w:val="both"/>
              <w:textAlignment w:val="center"/>
              <w:rPr>
                <w:rFonts w:hint="default" w:ascii="宋体" w:hAnsi="宋体" w:eastAsia="宋体"/>
                <w:kern w:val="0"/>
                <w:highlight w:val="none"/>
                <w:lang w:val="en-US" w:eastAsia="zh-CN"/>
              </w:rPr>
            </w:pPr>
            <w:r>
              <w:rPr>
                <w:rFonts w:hint="eastAsia" w:ascii="宋体" w:hAnsi="宋体"/>
                <w:kern w:val="0"/>
                <w:highlight w:val="none"/>
                <w:lang w:val="en-US" w:eastAsia="zh-CN"/>
              </w:rPr>
              <w:t>债权投资</w:t>
            </w:r>
          </w:p>
        </w:tc>
        <w:tc>
          <w:tcPr>
            <w:tcW w:w="2235" w:type="dxa"/>
            <w:vAlign w:val="center"/>
          </w:tcPr>
          <w:p w14:paraId="4BF16E28">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7FA5E0B3">
            <w:pPr>
              <w:keepNext w:val="0"/>
              <w:keepLines w:val="0"/>
              <w:suppressLineNumbers w:val="0"/>
              <w:spacing w:before="0" w:beforeAutospacing="0" w:after="0" w:afterAutospacing="0"/>
              <w:ind w:left="0" w:right="0"/>
              <w:jc w:val="right"/>
              <w:rPr>
                <w:rFonts w:hint="default" w:ascii="宋体" w:hAnsi="宋体"/>
                <w:highlight w:val="none"/>
              </w:rPr>
            </w:pPr>
          </w:p>
        </w:tc>
      </w:tr>
      <w:tr w14:paraId="35B1CE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698C3EAB">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cs="宋体"/>
                <w:i w:val="0"/>
                <w:iCs w:val="0"/>
                <w:color w:val="000000"/>
                <w:kern w:val="0"/>
                <w:sz w:val="21"/>
                <w:szCs w:val="21"/>
                <w:highlight w:val="none"/>
                <w:u w:val="none"/>
                <w:lang w:val="en-US" w:eastAsia="zh-CN" w:bidi="ar"/>
              </w:rPr>
              <w:t>其他债权</w:t>
            </w:r>
            <w:r>
              <w:rPr>
                <w:rFonts w:hint="eastAsia" w:ascii="宋体" w:hAnsi="宋体" w:eastAsia="宋体" w:cs="宋体"/>
                <w:i w:val="0"/>
                <w:iCs w:val="0"/>
                <w:color w:val="000000"/>
                <w:kern w:val="0"/>
                <w:sz w:val="21"/>
                <w:szCs w:val="21"/>
                <w:highlight w:val="none"/>
                <w:u w:val="none"/>
                <w:lang w:val="en-US" w:eastAsia="zh-CN" w:bidi="ar"/>
              </w:rPr>
              <w:t>投资</w:t>
            </w:r>
          </w:p>
        </w:tc>
        <w:tc>
          <w:tcPr>
            <w:tcW w:w="2235" w:type="dxa"/>
            <w:vAlign w:val="center"/>
          </w:tcPr>
          <w:p w14:paraId="511A26F4">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3EDBC4FA">
            <w:pPr>
              <w:keepNext w:val="0"/>
              <w:keepLines w:val="0"/>
              <w:suppressLineNumbers w:val="0"/>
              <w:spacing w:before="0" w:beforeAutospacing="0" w:after="0" w:afterAutospacing="0"/>
              <w:ind w:left="0" w:right="0"/>
              <w:jc w:val="right"/>
              <w:rPr>
                <w:rFonts w:hint="default" w:ascii="宋体" w:hAnsi="宋体"/>
                <w:highlight w:val="none"/>
              </w:rPr>
            </w:pPr>
          </w:p>
        </w:tc>
      </w:tr>
      <w:tr w14:paraId="6471BD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7106A27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其他权益工具投资</w:t>
            </w:r>
          </w:p>
        </w:tc>
        <w:tc>
          <w:tcPr>
            <w:tcW w:w="2235" w:type="dxa"/>
            <w:vAlign w:val="center"/>
          </w:tcPr>
          <w:p w14:paraId="2FA518A5">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6213D2C0">
            <w:pPr>
              <w:keepNext w:val="0"/>
              <w:keepLines w:val="0"/>
              <w:suppressLineNumbers w:val="0"/>
              <w:spacing w:before="0" w:beforeAutospacing="0" w:after="0" w:afterAutospacing="0"/>
              <w:ind w:left="0" w:right="0"/>
              <w:jc w:val="right"/>
              <w:rPr>
                <w:rFonts w:hint="default" w:ascii="宋体" w:hAnsi="宋体"/>
                <w:highlight w:val="none"/>
              </w:rPr>
            </w:pPr>
          </w:p>
        </w:tc>
      </w:tr>
      <w:tr w14:paraId="75F1C5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069C6C3C">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应收款项类投资</w:t>
            </w:r>
          </w:p>
        </w:tc>
        <w:tc>
          <w:tcPr>
            <w:tcW w:w="2235" w:type="dxa"/>
            <w:vAlign w:val="center"/>
          </w:tcPr>
          <w:p w14:paraId="0368E025">
            <w:pPr>
              <w:keepNext w:val="0"/>
              <w:keepLines w:val="0"/>
              <w:suppressLineNumbers w:val="0"/>
              <w:spacing w:before="0" w:beforeAutospacing="0" w:after="0" w:afterAutospacing="0"/>
              <w:ind w:left="0" w:right="0"/>
              <w:jc w:val="right"/>
              <w:rPr>
                <w:rFonts w:hint="default" w:ascii="宋体" w:hAnsi="宋体"/>
                <w:color w:val="000000"/>
                <w:highlight w:val="none"/>
              </w:rPr>
            </w:pPr>
          </w:p>
        </w:tc>
        <w:tc>
          <w:tcPr>
            <w:tcW w:w="2304" w:type="dxa"/>
            <w:vAlign w:val="center"/>
          </w:tcPr>
          <w:p w14:paraId="0F9D5039">
            <w:pPr>
              <w:keepNext w:val="0"/>
              <w:keepLines w:val="0"/>
              <w:suppressLineNumbers w:val="0"/>
              <w:spacing w:before="0" w:beforeAutospacing="0" w:after="0" w:afterAutospacing="0"/>
              <w:ind w:left="0" w:right="0"/>
              <w:jc w:val="right"/>
              <w:rPr>
                <w:rFonts w:hint="default" w:ascii="宋体" w:hAnsi="宋体"/>
                <w:highlight w:val="none"/>
              </w:rPr>
            </w:pPr>
          </w:p>
        </w:tc>
      </w:tr>
      <w:tr w14:paraId="0DEFA2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1967651D">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应收利息</w:t>
            </w:r>
          </w:p>
        </w:tc>
        <w:tc>
          <w:tcPr>
            <w:tcW w:w="2235" w:type="dxa"/>
            <w:vAlign w:val="center"/>
          </w:tcPr>
          <w:p w14:paraId="2826BEF5">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1,496,739.74</w:t>
            </w:r>
          </w:p>
        </w:tc>
        <w:tc>
          <w:tcPr>
            <w:tcW w:w="2304" w:type="dxa"/>
            <w:vAlign w:val="center"/>
          </w:tcPr>
          <w:p w14:paraId="108BD53E">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176,632.07</w:t>
            </w:r>
          </w:p>
        </w:tc>
      </w:tr>
      <w:tr w14:paraId="643FBD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2EA45C4B">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其他金融资产</w:t>
            </w:r>
          </w:p>
        </w:tc>
        <w:tc>
          <w:tcPr>
            <w:tcW w:w="2235" w:type="dxa"/>
            <w:vAlign w:val="center"/>
          </w:tcPr>
          <w:p w14:paraId="021E9413">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5,241,091.22</w:t>
            </w:r>
          </w:p>
        </w:tc>
        <w:tc>
          <w:tcPr>
            <w:tcW w:w="2304" w:type="dxa"/>
            <w:vAlign w:val="center"/>
          </w:tcPr>
          <w:p w14:paraId="7647FF01">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412,854.17</w:t>
            </w:r>
          </w:p>
        </w:tc>
      </w:tr>
      <w:tr w14:paraId="7C22251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19D4C41B">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小 计</w:t>
            </w:r>
          </w:p>
        </w:tc>
        <w:tc>
          <w:tcPr>
            <w:tcW w:w="2235" w:type="dxa"/>
            <w:vAlign w:val="center"/>
          </w:tcPr>
          <w:p w14:paraId="6A166207">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1,102,461,378.37</w:t>
            </w:r>
          </w:p>
        </w:tc>
        <w:tc>
          <w:tcPr>
            <w:tcW w:w="2304" w:type="dxa"/>
            <w:vAlign w:val="center"/>
          </w:tcPr>
          <w:p w14:paraId="040930B0">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1,201,096,188.90</w:t>
            </w:r>
          </w:p>
        </w:tc>
      </w:tr>
      <w:tr w14:paraId="6C3613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8522" w:type="dxa"/>
            <w:gridSpan w:val="3"/>
            <w:vAlign w:val="center"/>
          </w:tcPr>
          <w:p w14:paraId="71B166F3">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（2）表外信用承诺风险敞口包括</w:t>
            </w:r>
          </w:p>
        </w:tc>
      </w:tr>
      <w:tr w14:paraId="726E34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50AD568F">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开出信用证</w:t>
            </w:r>
          </w:p>
        </w:tc>
        <w:tc>
          <w:tcPr>
            <w:tcW w:w="2235" w:type="dxa"/>
            <w:vAlign w:val="center"/>
          </w:tcPr>
          <w:p w14:paraId="4BC519DF">
            <w:pPr>
              <w:keepNext w:val="0"/>
              <w:keepLines w:val="0"/>
              <w:suppressLineNumbers w:val="0"/>
              <w:spacing w:before="0" w:beforeAutospacing="0" w:after="0" w:afterAutospacing="0"/>
              <w:ind w:left="0" w:right="0"/>
              <w:jc w:val="right"/>
              <w:rPr>
                <w:rFonts w:hint="default" w:ascii="宋体" w:hAnsi="宋体"/>
                <w:highlight w:val="none"/>
              </w:rPr>
            </w:pPr>
          </w:p>
        </w:tc>
        <w:tc>
          <w:tcPr>
            <w:tcW w:w="2304" w:type="dxa"/>
            <w:vAlign w:val="center"/>
          </w:tcPr>
          <w:p w14:paraId="5A735B7D">
            <w:pPr>
              <w:keepNext w:val="0"/>
              <w:keepLines w:val="0"/>
              <w:suppressLineNumbers w:val="0"/>
              <w:spacing w:before="0" w:beforeAutospacing="0" w:after="0" w:afterAutospacing="0"/>
              <w:ind w:left="0" w:right="0"/>
              <w:jc w:val="right"/>
              <w:rPr>
                <w:rFonts w:hint="default" w:ascii="宋体" w:hAnsi="宋体"/>
                <w:highlight w:val="none"/>
              </w:rPr>
            </w:pPr>
          </w:p>
        </w:tc>
      </w:tr>
      <w:tr w14:paraId="155EA8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4B283F13">
            <w:pPr>
              <w:keepNext w:val="0"/>
              <w:keepLines w:val="0"/>
              <w:widowControl/>
              <w:suppressLineNumbers w:val="0"/>
              <w:spacing w:before="0" w:beforeAutospacing="0" w:after="0" w:afterAutospacing="0"/>
              <w:ind w:left="0" w:right="0"/>
              <w:jc w:val="both"/>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银行承兑汇票</w:t>
            </w:r>
          </w:p>
        </w:tc>
        <w:tc>
          <w:tcPr>
            <w:tcW w:w="2235" w:type="dxa"/>
            <w:vAlign w:val="center"/>
          </w:tcPr>
          <w:p w14:paraId="0E28FE72">
            <w:pPr>
              <w:keepNext w:val="0"/>
              <w:keepLines w:val="0"/>
              <w:suppressLineNumbers w:val="0"/>
              <w:spacing w:before="0" w:beforeAutospacing="0" w:after="0" w:afterAutospacing="0"/>
              <w:ind w:left="0" w:right="0"/>
              <w:jc w:val="right"/>
              <w:rPr>
                <w:rFonts w:hint="default" w:ascii="宋体" w:hAnsi="宋体"/>
                <w:highlight w:val="none"/>
              </w:rPr>
            </w:pPr>
          </w:p>
        </w:tc>
        <w:tc>
          <w:tcPr>
            <w:tcW w:w="2304" w:type="dxa"/>
            <w:vAlign w:val="center"/>
          </w:tcPr>
          <w:p w14:paraId="4166658C">
            <w:pPr>
              <w:keepNext w:val="0"/>
              <w:keepLines w:val="0"/>
              <w:suppressLineNumbers w:val="0"/>
              <w:spacing w:before="0" w:beforeAutospacing="0" w:after="0" w:afterAutospacing="0"/>
              <w:ind w:left="0" w:right="0"/>
              <w:jc w:val="right"/>
              <w:rPr>
                <w:rFonts w:hint="default" w:ascii="宋体" w:hAnsi="宋体"/>
                <w:highlight w:val="none"/>
              </w:rPr>
            </w:pPr>
          </w:p>
        </w:tc>
      </w:tr>
      <w:tr w14:paraId="75B41A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490AC7CA">
            <w:pPr>
              <w:keepNext w:val="0"/>
              <w:keepLines w:val="0"/>
              <w:widowControl/>
              <w:suppressLineNumbers w:val="0"/>
              <w:spacing w:before="0" w:beforeAutospacing="0" w:after="0" w:afterAutospacing="0"/>
              <w:ind w:left="0" w:right="0"/>
              <w:jc w:val="center"/>
              <w:textAlignment w:val="center"/>
              <w:rPr>
                <w:rFonts w:hint="default" w:ascii="宋体" w:hAnsi="宋体"/>
                <w:kern w:val="0"/>
                <w:highlight w:val="none"/>
              </w:rPr>
            </w:pPr>
            <w:r>
              <w:rPr>
                <w:rFonts w:hint="eastAsia" w:ascii="宋体" w:hAnsi="宋体" w:eastAsia="宋体" w:cs="宋体"/>
                <w:i w:val="0"/>
                <w:iCs w:val="0"/>
                <w:color w:val="000000"/>
                <w:kern w:val="0"/>
                <w:sz w:val="21"/>
                <w:szCs w:val="21"/>
                <w:highlight w:val="none"/>
                <w:u w:val="none"/>
                <w:lang w:val="en-US" w:eastAsia="zh-CN" w:bidi="ar"/>
              </w:rPr>
              <w:t>小 计</w:t>
            </w:r>
          </w:p>
        </w:tc>
        <w:tc>
          <w:tcPr>
            <w:tcW w:w="2235" w:type="dxa"/>
            <w:vAlign w:val="center"/>
          </w:tcPr>
          <w:p w14:paraId="159E99D5">
            <w:pPr>
              <w:keepNext w:val="0"/>
              <w:keepLines w:val="0"/>
              <w:suppressLineNumbers w:val="0"/>
              <w:spacing w:before="0" w:beforeAutospacing="0" w:after="0" w:afterAutospacing="0"/>
              <w:ind w:left="0" w:right="0"/>
              <w:jc w:val="right"/>
              <w:rPr>
                <w:rFonts w:hint="default" w:ascii="宋体" w:hAnsi="宋体"/>
                <w:highlight w:val="none"/>
              </w:rPr>
            </w:pPr>
          </w:p>
        </w:tc>
        <w:tc>
          <w:tcPr>
            <w:tcW w:w="2304" w:type="dxa"/>
            <w:vAlign w:val="center"/>
          </w:tcPr>
          <w:p w14:paraId="46CB6924">
            <w:pPr>
              <w:keepNext w:val="0"/>
              <w:keepLines w:val="0"/>
              <w:suppressLineNumbers w:val="0"/>
              <w:spacing w:before="0" w:beforeAutospacing="0" w:after="0" w:afterAutospacing="0"/>
              <w:ind w:left="0" w:right="0"/>
              <w:jc w:val="right"/>
              <w:rPr>
                <w:rFonts w:hint="default" w:ascii="宋体" w:hAnsi="宋体"/>
                <w:highlight w:val="none"/>
              </w:rPr>
            </w:pPr>
          </w:p>
        </w:tc>
      </w:tr>
      <w:tr w14:paraId="21A7D2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3983" w:type="dxa"/>
            <w:vAlign w:val="center"/>
          </w:tcPr>
          <w:p w14:paraId="2947B91D">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highlight w:val="none"/>
              </w:rPr>
            </w:pPr>
            <w:r>
              <w:rPr>
                <w:rFonts w:hint="eastAsia" w:ascii="宋体" w:hAnsi="宋体" w:eastAsia="宋体" w:cs="宋体"/>
                <w:b/>
                <w:bCs/>
                <w:i w:val="0"/>
                <w:iCs w:val="0"/>
                <w:color w:val="000000"/>
                <w:kern w:val="0"/>
                <w:sz w:val="21"/>
                <w:szCs w:val="21"/>
                <w:highlight w:val="none"/>
                <w:u w:val="none"/>
                <w:lang w:val="en-US" w:eastAsia="zh-CN" w:bidi="ar"/>
              </w:rPr>
              <w:t>合 计</w:t>
            </w:r>
          </w:p>
        </w:tc>
        <w:tc>
          <w:tcPr>
            <w:tcW w:w="2235" w:type="dxa"/>
            <w:shd w:val="clear" w:color="auto" w:fill="auto"/>
            <w:vAlign w:val="center"/>
          </w:tcPr>
          <w:p w14:paraId="35F501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1,102,461,378.37</w:t>
            </w:r>
          </w:p>
        </w:tc>
        <w:tc>
          <w:tcPr>
            <w:tcW w:w="2304" w:type="dxa"/>
            <w:vAlign w:val="center"/>
          </w:tcPr>
          <w:p w14:paraId="04277D4E">
            <w:pPr>
              <w:keepNext w:val="0"/>
              <w:keepLines w:val="0"/>
              <w:widowControl/>
              <w:suppressLineNumbers w:val="0"/>
              <w:spacing w:before="0" w:beforeAutospacing="0" w:after="0" w:afterAutospacing="0"/>
              <w:ind w:left="0" w:right="0"/>
              <w:jc w:val="right"/>
              <w:textAlignment w:val="center"/>
              <w:rPr>
                <w:rFonts w:hint="default" w:ascii="宋体" w:hAnsi="宋体"/>
                <w:color w:val="000000"/>
                <w:highlight w:val="none"/>
              </w:rPr>
            </w:pPr>
            <w:r>
              <w:rPr>
                <w:rFonts w:hint="eastAsia" w:ascii="宋体" w:hAnsi="宋体" w:eastAsia="宋体" w:cs="宋体"/>
                <w:i w:val="0"/>
                <w:iCs w:val="0"/>
                <w:color w:val="000000"/>
                <w:kern w:val="0"/>
                <w:sz w:val="21"/>
                <w:szCs w:val="21"/>
                <w:highlight w:val="none"/>
                <w:u w:val="none"/>
                <w:lang w:val="en-US" w:eastAsia="zh-CN" w:bidi="ar"/>
              </w:rPr>
              <w:t>1,201,096,188.90</w:t>
            </w:r>
          </w:p>
        </w:tc>
      </w:tr>
    </w:tbl>
    <w:p w14:paraId="1873DDCE">
      <w:pPr>
        <w:pStyle w:val="3"/>
        <w:keepNext w:val="0"/>
        <w:keepLines w:val="0"/>
        <w:tabs>
          <w:tab w:val="left" w:pos="851"/>
        </w:tabs>
        <w:spacing w:before="0" w:after="0" w:line="480" w:lineRule="exact"/>
        <w:ind w:firstLine="48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二</w:t>
      </w:r>
      <w:r>
        <w:rPr>
          <w:rFonts w:hint="eastAsia" w:ascii="宋体" w:hAnsi="宋体" w:eastAsia="宋体" w:cs="宋体"/>
          <w:bCs w:val="0"/>
          <w:sz w:val="24"/>
          <w:szCs w:val="24"/>
          <w:highlight w:val="none"/>
        </w:rPr>
        <w:t>）流动性风险及对策</w:t>
      </w:r>
    </w:p>
    <w:p w14:paraId="7EE4A4EB">
      <w:pPr>
        <w:autoSpaceDE w:val="0"/>
        <w:autoSpaceDN w:val="0"/>
        <w:adjustRightInd w:val="0"/>
        <w:spacing w:line="480" w:lineRule="exact"/>
        <w:ind w:firstLine="480" w:firstLineChars="200"/>
        <w:rPr>
          <w:rFonts w:hint="eastAsia" w:ascii="宋体" w:hAnsi="宋体" w:cs="宋体"/>
          <w:kern w:val="0"/>
          <w:sz w:val="24"/>
          <w:szCs w:val="24"/>
          <w:highlight w:val="none"/>
        </w:rPr>
      </w:pPr>
      <w:r>
        <w:rPr>
          <w:rFonts w:hint="eastAsia" w:ascii="宋体" w:hAnsi="宋体" w:eastAsia="宋体" w:cs="宋体"/>
          <w:bCs w:val="0"/>
          <w:sz w:val="24"/>
          <w:szCs w:val="24"/>
          <w:highlight w:val="none"/>
        </w:rPr>
        <w:t>流</w:t>
      </w:r>
      <w:r>
        <w:rPr>
          <w:rFonts w:hint="eastAsia" w:ascii="宋体" w:hAnsi="宋体" w:cs="宋体"/>
          <w:kern w:val="0"/>
          <w:sz w:val="24"/>
          <w:szCs w:val="24"/>
          <w:highlight w:val="none"/>
        </w:rPr>
        <w:t>动性风险包括因无法履行还款责任，或者因无法及时或以合理的价格为公司资产组合变现提供资金所带来的风险。本村镇银行的流动性风险主要来源于资产和负债在期限上的错配，通常情况下表现为短期资金的长期运用。</w:t>
      </w:r>
    </w:p>
    <w:p w14:paraId="494665D5">
      <w:pPr>
        <w:autoSpaceDE w:val="0"/>
        <w:autoSpaceDN w:val="0"/>
        <w:adjustRightInd w:val="0"/>
        <w:spacing w:line="48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对策：本村镇银行结合宏观经济形势和金融监管政策变化，审慎评估市场风险、信用风险、操作风险、声誉风险等对资产负债业务流动性的影响，密切关注其他风险转化为流动性风险的可能。按照现金净流入的期限分别进行管理，在短期现金流管理过程中，重视备付金管理。相关部门每日提前预测大额头寸的净流入或流出，合理调度资金、满足日常的支付结算需要，防止出现头寸红字。</w:t>
      </w:r>
    </w:p>
    <w:p w14:paraId="3ACFEEE6">
      <w:pPr>
        <w:pStyle w:val="3"/>
        <w:keepNext w:val="0"/>
        <w:keepLines w:val="0"/>
        <w:tabs>
          <w:tab w:val="left" w:pos="851"/>
        </w:tabs>
        <w:spacing w:before="0" w:after="0" w:line="480" w:lineRule="exact"/>
        <w:ind w:firstLine="48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三</w:t>
      </w:r>
      <w:r>
        <w:rPr>
          <w:rFonts w:hint="eastAsia" w:ascii="宋体" w:hAnsi="宋体" w:eastAsia="宋体" w:cs="宋体"/>
          <w:bCs w:val="0"/>
          <w:sz w:val="24"/>
          <w:szCs w:val="24"/>
          <w:highlight w:val="none"/>
        </w:rPr>
        <w:t>）市场风险及对策</w:t>
      </w:r>
    </w:p>
    <w:p w14:paraId="6A7B0451">
      <w:pPr>
        <w:pStyle w:val="3"/>
        <w:keepNext w:val="0"/>
        <w:keepLines w:val="0"/>
        <w:tabs>
          <w:tab w:val="left" w:pos="851"/>
        </w:tabs>
        <w:spacing w:before="0" w:after="0" w:line="480" w:lineRule="exact"/>
        <w:ind w:firstLine="48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市场风险是指利率、汇率以及其他市场因素变动而引起金融工具的价值变化，进而对未来收益或者未来现金流量可能造成潜在损失的风险。影响本村镇银行的市场风险主要为利率风险。</w:t>
      </w:r>
    </w:p>
    <w:p w14:paraId="204ECD9A">
      <w:pPr>
        <w:pStyle w:val="3"/>
        <w:keepNext w:val="0"/>
        <w:keepLines w:val="0"/>
        <w:tabs>
          <w:tab w:val="left" w:pos="851"/>
        </w:tabs>
        <w:spacing w:before="0" w:after="0" w:line="480" w:lineRule="exact"/>
        <w:ind w:firstLine="48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对策：本村镇银行主要采取以下措施加强对利率风险的管控，以确保利率风险可控：</w:t>
      </w:r>
    </w:p>
    <w:p w14:paraId="590DB57F">
      <w:pPr>
        <w:pStyle w:val="3"/>
        <w:keepNext w:val="0"/>
        <w:keepLines w:val="0"/>
        <w:tabs>
          <w:tab w:val="left" w:pos="851"/>
        </w:tabs>
        <w:spacing w:before="0" w:after="0" w:line="480" w:lineRule="exact"/>
        <w:ind w:firstLine="48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1、完善制度建设。本村镇银行目前利率定价主要是依据《利率定价制度》。后期将结合社会发展情况，不断的完善制度，最大程度的降低利率风险。</w:t>
      </w:r>
    </w:p>
    <w:p w14:paraId="17DC8BDE">
      <w:pPr>
        <w:pStyle w:val="3"/>
        <w:keepNext w:val="0"/>
        <w:keepLines w:val="0"/>
        <w:tabs>
          <w:tab w:val="left" w:pos="851"/>
        </w:tabs>
        <w:spacing w:before="0" w:after="0" w:line="480" w:lineRule="exact"/>
        <w:ind w:firstLine="48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2、健全内部控制和外部审计。本村镇银行加强市场风险模型和系统建设，落实各类政策，为汇率风险管理体系的正常运行提供保障机制。</w:t>
      </w:r>
    </w:p>
    <w:p w14:paraId="4D9D4E30">
      <w:pPr>
        <w:pStyle w:val="3"/>
        <w:keepNext w:val="0"/>
        <w:keepLines w:val="0"/>
        <w:tabs>
          <w:tab w:val="left" w:pos="851"/>
        </w:tabs>
        <w:spacing w:before="0" w:after="0" w:line="480" w:lineRule="exact"/>
        <w:ind w:firstLine="480"/>
        <w:rPr>
          <w:rFonts w:ascii="宋体" w:hAnsi="宋体" w:eastAsia="宋体" w:cs="宋体"/>
          <w:bCs w:val="0"/>
          <w:sz w:val="24"/>
          <w:szCs w:val="24"/>
          <w:highlight w:val="none"/>
        </w:rPr>
      </w:pPr>
      <w:r>
        <w:rPr>
          <w:rFonts w:hint="eastAsia" w:ascii="宋体" w:hAnsi="宋体" w:eastAsia="宋体" w:cs="宋体"/>
          <w:bCs w:val="0"/>
          <w:sz w:val="24"/>
          <w:szCs w:val="24"/>
          <w:highlight w:val="none"/>
        </w:rPr>
        <w:t>（四）操作风险及对策</w:t>
      </w:r>
    </w:p>
    <w:p w14:paraId="26590105">
      <w:pPr>
        <w:autoSpaceDE w:val="0"/>
        <w:autoSpaceDN w:val="0"/>
        <w:adjustRightInd w:val="0"/>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操作风险是由于不完善或失灵的内部程序、人员、系统或外部事件导致损失的风险。操作风险主要来源于四类风险因素：人员风险、流程风险、系统风险、外部事件风险。</w:t>
      </w:r>
    </w:p>
    <w:p w14:paraId="370B423B">
      <w:pPr>
        <w:autoSpaceDE w:val="0"/>
        <w:autoSpaceDN w:val="0"/>
        <w:adjustRightInd w:val="0"/>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对策：本村镇银行通过采取以下措施加强操作风险管理：</w:t>
      </w:r>
    </w:p>
    <w:p w14:paraId="06D13863">
      <w:pPr>
        <w:autoSpaceDE w:val="0"/>
        <w:autoSpaceDN w:val="0"/>
        <w:adjustRightInd w:val="0"/>
        <w:spacing w:line="48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人员管理方面，加强各级员工的业务技能培训。抓好员工思想教育、合规教育，提高员工操作风险意识。明确岗位职责，实施不相容岗位严格分离。</w:t>
      </w:r>
    </w:p>
    <w:p w14:paraId="65D85001">
      <w:pPr>
        <w:autoSpaceDE w:val="0"/>
        <w:autoSpaceDN w:val="0"/>
        <w:adjustRightInd w:val="0"/>
        <w:spacing w:line="480" w:lineRule="exact"/>
        <w:ind w:firstLine="480" w:firstLineChars="200"/>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流程管理方面，加强制度建设，建立了一整套比较完整、规范、科学的内控制度，覆盖业务经营和管理活动的全过程。</w:t>
      </w:r>
    </w:p>
    <w:p w14:paraId="58F9497A">
      <w:pPr>
        <w:autoSpaceDE w:val="0"/>
        <w:autoSpaceDN w:val="0"/>
        <w:adjustRightInd w:val="0"/>
        <w:spacing w:line="48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信息科技风险管理方面，建立了明确的岗位责任制度，实行分级管理；建立系统日常监控运行日志，保障信息系统的安全运行；定期实施信息系统应急演练，提高应急能力和突发事件处置效率；优化监控体系，对网络、主机、数据库、中间件、基础设施等进行</w:t>
      </w:r>
      <w:r>
        <w:rPr>
          <w:rFonts w:ascii="宋体" w:hAnsi="宋体" w:cs="宋体"/>
          <w:kern w:val="0"/>
          <w:sz w:val="24"/>
          <w:szCs w:val="24"/>
          <w:highlight w:val="none"/>
        </w:rPr>
        <w:t>7*24</w:t>
      </w:r>
      <w:r>
        <w:rPr>
          <w:rFonts w:hint="eastAsia" w:ascii="宋体" w:hAnsi="宋体" w:cs="宋体"/>
          <w:kern w:val="0"/>
          <w:sz w:val="24"/>
          <w:szCs w:val="24"/>
          <w:highlight w:val="none"/>
        </w:rPr>
        <w:t>小时监控，发现异常立即处理。</w:t>
      </w:r>
    </w:p>
    <w:p w14:paraId="76A346FE">
      <w:pPr>
        <w:spacing w:line="480" w:lineRule="exact"/>
        <w:ind w:firstLine="480" w:firstLineChars="200"/>
        <w:rPr>
          <w:highlight w:val="none"/>
        </w:rPr>
      </w:pPr>
      <w:r>
        <w:rPr>
          <w:rFonts w:ascii="宋体" w:hAnsi="宋体" w:cs="宋体"/>
          <w:kern w:val="0"/>
          <w:sz w:val="24"/>
          <w:szCs w:val="24"/>
          <w:highlight w:val="none"/>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案件防控方面，建立和完善了案防工作制度，覆盖案件防控管理的各个环节，实施分支行内控评级和全员合规评价，规范业务操作行为。制定了案件问责规定和员工违规失职行为处理办法，对违规违纪行为进行责任追究。此外，本村镇银行还采取定期和不定期排查以及年度案件专项治理等方式排查案件风险，及时发现和消除风险隐患，提高案件防控能力。</w:t>
      </w:r>
    </w:p>
    <w:p w14:paraId="0DAF1B02">
      <w:pPr>
        <w:pStyle w:val="20"/>
        <w:spacing w:before="0" w:after="0" w:line="480" w:lineRule="exact"/>
        <w:ind w:firstLine="562" w:firstLineChars="200"/>
        <w:jc w:val="both"/>
        <w:rPr>
          <w:rFonts w:ascii="宋体" w:hAnsi="宋体" w:cs="宋体"/>
          <w:sz w:val="28"/>
          <w:szCs w:val="28"/>
          <w:highlight w:val="none"/>
        </w:rPr>
      </w:pPr>
      <w:r>
        <w:rPr>
          <w:rFonts w:hint="eastAsia" w:ascii="宋体" w:hAnsi="宋体" w:cs="宋体"/>
          <w:sz w:val="28"/>
          <w:szCs w:val="28"/>
          <w:highlight w:val="none"/>
        </w:rPr>
        <w:t>十、或有事项、承诺及主要表外事项</w:t>
      </w:r>
    </w:p>
    <w:p w14:paraId="1273B41D">
      <w:pPr>
        <w:spacing w:line="480" w:lineRule="exact"/>
        <w:ind w:firstLine="480" w:firstLineChars="200"/>
        <w:rPr>
          <w:rFonts w:ascii="宋体" w:hAns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未决诉讼</w:t>
      </w:r>
    </w:p>
    <w:p w14:paraId="21917E4A">
      <w:pPr>
        <w:spacing w:line="48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截至202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年12月31日，本村镇银行主要未判决诉讼</w:t>
      </w:r>
      <w:r>
        <w:rPr>
          <w:rFonts w:hint="eastAsia" w:ascii="宋体" w:hAnsi="宋体" w:cs="宋体"/>
          <w:kern w:val="0"/>
          <w:sz w:val="24"/>
          <w:szCs w:val="24"/>
          <w:highlight w:val="none"/>
          <w:lang w:val="en-US" w:eastAsia="zh-CN"/>
        </w:rPr>
        <w:t>涉及25笔，</w:t>
      </w:r>
      <w:r>
        <w:rPr>
          <w:rFonts w:hint="eastAsia" w:ascii="宋体" w:hAnsi="宋体" w:cs="宋体"/>
          <w:kern w:val="0"/>
          <w:sz w:val="24"/>
          <w:szCs w:val="24"/>
          <w:highlight w:val="none"/>
        </w:rPr>
        <w:t>情况如下：</w:t>
      </w:r>
    </w:p>
    <w:tbl>
      <w:tblPr>
        <w:tblStyle w:val="22"/>
        <w:tblW w:w="8234"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4448"/>
        <w:gridCol w:w="2243"/>
      </w:tblGrid>
      <w:tr w14:paraId="4473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blHeader/>
        </w:trPr>
        <w:tc>
          <w:tcPr>
            <w:tcW w:w="1543" w:type="dxa"/>
            <w:tcBorders>
              <w:top w:val="single" w:color="auto" w:sz="12" w:space="0"/>
              <w:left w:val="dotted" w:color="auto" w:sz="4" w:space="0"/>
              <w:bottom w:val="dotted" w:color="auto" w:sz="4" w:space="0"/>
              <w:right w:val="dotted" w:color="auto" w:sz="4" w:space="0"/>
            </w:tcBorders>
            <w:noWrap w:val="0"/>
            <w:vAlign w:val="bottom"/>
          </w:tcPr>
          <w:p w14:paraId="7F426C9D">
            <w:pPr>
              <w:keepNext w:val="0"/>
              <w:keepLines w:val="0"/>
              <w:widowControl/>
              <w:suppressLineNumbers w:val="0"/>
              <w:spacing w:before="0" w:beforeAutospacing="0" w:after="0" w:afterAutospacing="0"/>
              <w:ind w:left="0" w:right="0"/>
              <w:jc w:val="center"/>
              <w:textAlignment w:val="bottom"/>
              <w:rPr>
                <w:rFonts w:hint="eastAsia" w:ascii="宋体" w:hAnsi="宋体"/>
                <w:color w:val="000000"/>
                <w:sz w:val="22"/>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起诉日期</w:t>
            </w:r>
          </w:p>
        </w:tc>
        <w:tc>
          <w:tcPr>
            <w:tcW w:w="4448" w:type="dxa"/>
            <w:tcBorders>
              <w:top w:val="single" w:color="auto" w:sz="12" w:space="0"/>
              <w:left w:val="dotted" w:color="auto" w:sz="4" w:space="0"/>
              <w:bottom w:val="dotted" w:color="auto" w:sz="4" w:space="0"/>
              <w:right w:val="dotted" w:color="auto" w:sz="4" w:space="0"/>
            </w:tcBorders>
            <w:noWrap w:val="0"/>
            <w:vAlign w:val="bottom"/>
          </w:tcPr>
          <w:p w14:paraId="453A5FFE">
            <w:pPr>
              <w:keepNext w:val="0"/>
              <w:keepLines w:val="0"/>
              <w:widowControl/>
              <w:suppressLineNumbers w:val="0"/>
              <w:spacing w:before="0" w:beforeAutospacing="0" w:after="0" w:afterAutospacing="0"/>
              <w:ind w:left="0" w:right="0"/>
              <w:jc w:val="center"/>
              <w:textAlignment w:val="bottom"/>
              <w:rPr>
                <w:rFonts w:hint="eastAsia" w:ascii="宋体" w:hAnsi="宋体"/>
                <w:color w:val="000000"/>
                <w:sz w:val="22"/>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事项内容</w:t>
            </w:r>
          </w:p>
        </w:tc>
        <w:tc>
          <w:tcPr>
            <w:tcW w:w="2243" w:type="dxa"/>
            <w:tcBorders>
              <w:top w:val="single" w:color="auto" w:sz="12" w:space="0"/>
              <w:left w:val="dotted" w:color="auto" w:sz="4" w:space="0"/>
              <w:bottom w:val="dotted" w:color="auto" w:sz="4" w:space="0"/>
              <w:right w:val="dotted" w:color="auto" w:sz="4" w:space="0"/>
            </w:tcBorders>
            <w:noWrap w:val="0"/>
            <w:vAlign w:val="bottom"/>
          </w:tcPr>
          <w:p w14:paraId="1E959999">
            <w:pPr>
              <w:keepNext w:val="0"/>
              <w:keepLines w:val="0"/>
              <w:widowControl/>
              <w:suppressLineNumbers w:val="0"/>
              <w:spacing w:before="0" w:beforeAutospacing="0" w:after="0" w:afterAutospacing="0"/>
              <w:ind w:left="0" w:right="0"/>
              <w:jc w:val="center"/>
              <w:textAlignment w:val="bottom"/>
              <w:rPr>
                <w:rFonts w:hint="eastAsia" w:ascii="宋体" w:hAnsi="宋体"/>
                <w:color w:val="000000"/>
                <w:sz w:val="22"/>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涉及金额（元）</w:t>
            </w:r>
          </w:p>
        </w:tc>
      </w:tr>
      <w:tr w14:paraId="59EB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46C4884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20240325</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2EFA5EB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起诉借款人董建刚逾期贷款事宜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1C0F5BA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1,177,300.00 </w:t>
            </w:r>
          </w:p>
        </w:tc>
      </w:tr>
      <w:tr w14:paraId="3ED6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744D5F9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20240827</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1C40924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起诉借款人马伟欢逾期贷款事宜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559D51C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60,000.00 </w:t>
            </w:r>
          </w:p>
        </w:tc>
      </w:tr>
      <w:tr w14:paraId="1294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453155A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20240827</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69A4F23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起诉借款人王新新逾期贷款事宜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6774CF5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70,000.00 </w:t>
            </w:r>
          </w:p>
        </w:tc>
      </w:tr>
      <w:tr w14:paraId="3051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6C7F2F6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20240827</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0FED3D2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起诉借款人李志强逾期贷款事宜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2588490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97,548.17 </w:t>
            </w:r>
          </w:p>
        </w:tc>
      </w:tr>
      <w:tr w14:paraId="22A8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7F63352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20240827</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3F2A2A2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起诉借款人陈克军逾期贷款事宜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0F40087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99,999.61 </w:t>
            </w:r>
          </w:p>
        </w:tc>
      </w:tr>
      <w:tr w14:paraId="660D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5873D2F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20240823</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1776119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起诉借款人蔡福群逾期贷款事宜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47898AE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80,000.00 </w:t>
            </w:r>
          </w:p>
        </w:tc>
      </w:tr>
      <w:tr w14:paraId="30BE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78B0730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20240823</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78755F9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起诉借款人陈国刚逾期贷款事宜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5A5833D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96,983.71 </w:t>
            </w:r>
          </w:p>
        </w:tc>
      </w:tr>
      <w:tr w14:paraId="6FE2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092E335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20240913</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339E308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起诉借款人杨立明逾期贷款事宜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32B29D1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265,000.00 </w:t>
            </w:r>
          </w:p>
        </w:tc>
      </w:tr>
      <w:tr w14:paraId="73A5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11DB20D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20240919</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5521BA2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起诉借款人王林逾期贷款事宜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0423986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80,000.00 </w:t>
            </w:r>
          </w:p>
        </w:tc>
      </w:tr>
      <w:tr w14:paraId="27B5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2BE268C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20241009</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1805AF0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起诉借款人田佳禄逾期贷款事宜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3A55087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78,000.00 </w:t>
            </w:r>
          </w:p>
        </w:tc>
      </w:tr>
      <w:tr w14:paraId="6C38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3E18F7E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20241009</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7903E27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起诉借款人马红岩逾期贷款事宜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6491985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100,000.00 </w:t>
            </w:r>
          </w:p>
        </w:tc>
      </w:tr>
      <w:tr w14:paraId="7AFB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26E15EB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6D58F77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起诉借款人赵海逾期贷款事宜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7852EA0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60,000.00 </w:t>
            </w:r>
          </w:p>
        </w:tc>
      </w:tr>
      <w:tr w14:paraId="1B8B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758B497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05FF69F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起诉借款人王志军逾期贷款事宜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1B58877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500,000.00 </w:t>
            </w:r>
          </w:p>
        </w:tc>
      </w:tr>
      <w:tr w14:paraId="6716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5BFF668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0EA5E76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起诉借款人王文礼逾期贷款事宜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1FDB48F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100,000.00 </w:t>
            </w:r>
          </w:p>
        </w:tc>
      </w:tr>
      <w:tr w14:paraId="00A7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3DFEA96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20241014</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7A62309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起诉借款人李金锁期贷款事宜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12F80AAE">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79,410.40 </w:t>
            </w:r>
          </w:p>
        </w:tc>
      </w:tr>
      <w:tr w14:paraId="1BAE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01CB8D2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20241014</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5AD139C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起诉借款人曹全有期贷款事宜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6D153FF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99,913.95 </w:t>
            </w:r>
          </w:p>
        </w:tc>
      </w:tr>
      <w:tr w14:paraId="56AF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717CD8D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20241014</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7F9202D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起诉借款人闫尔民期贷款事宜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6A7EDE8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100,000.00 </w:t>
            </w:r>
          </w:p>
        </w:tc>
      </w:tr>
      <w:tr w14:paraId="6CF4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5A9DB9F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20241014</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30ABC88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起诉借款人邵小亮期贷款事宜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0BDBC7C5">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85,000.00 </w:t>
            </w:r>
          </w:p>
        </w:tc>
      </w:tr>
      <w:tr w14:paraId="0F2F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1A42EF0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20241106</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05A8EA6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起诉借款人翟增苓期贷款事宜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7B8A1CB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200,000.00 </w:t>
            </w:r>
          </w:p>
        </w:tc>
      </w:tr>
      <w:tr w14:paraId="62E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019C47D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45DBEAF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起诉借款人刘晓期贷款事宜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4095228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90,000.00 </w:t>
            </w:r>
          </w:p>
        </w:tc>
      </w:tr>
      <w:tr w14:paraId="6C21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453BC2F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2457E3D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起诉借款人杜向新期贷款事宜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0308180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1,350,000.00 </w:t>
            </w:r>
          </w:p>
        </w:tc>
      </w:tr>
      <w:tr w14:paraId="7043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55FA5BA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6146AF8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起诉借款人王亮亮期贷款事宜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24D9525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100,000.00 </w:t>
            </w:r>
          </w:p>
        </w:tc>
      </w:tr>
      <w:tr w14:paraId="60CA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1E97090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6111957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起诉借款人李天宇期贷款事宜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26B358E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70,000.00 </w:t>
            </w:r>
          </w:p>
        </w:tc>
      </w:tr>
      <w:tr w14:paraId="4207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6E1F8FA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0BBC6B3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起诉借款人崔雨通期贷款事宜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11D7AB4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200,000.00 </w:t>
            </w:r>
          </w:p>
        </w:tc>
      </w:tr>
      <w:tr w14:paraId="36CC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dotted" w:color="auto" w:sz="4" w:space="0"/>
              <w:right w:val="dotted" w:color="auto" w:sz="4" w:space="0"/>
            </w:tcBorders>
            <w:noWrap w:val="0"/>
            <w:vAlign w:val="bottom"/>
          </w:tcPr>
          <w:p w14:paraId="608FE7F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20241120</w:t>
            </w:r>
          </w:p>
        </w:tc>
        <w:tc>
          <w:tcPr>
            <w:tcW w:w="4448" w:type="dxa"/>
            <w:tcBorders>
              <w:top w:val="dotted" w:color="auto" w:sz="4" w:space="0"/>
              <w:left w:val="dotted" w:color="auto" w:sz="4" w:space="0"/>
              <w:bottom w:val="dotted" w:color="auto" w:sz="4" w:space="0"/>
              <w:right w:val="dotted" w:color="auto" w:sz="4" w:space="0"/>
            </w:tcBorders>
            <w:noWrap w:val="0"/>
            <w:vAlign w:val="bottom"/>
          </w:tcPr>
          <w:p w14:paraId="64512AE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起诉借款人王建华期贷款事宜</w:t>
            </w:r>
          </w:p>
        </w:tc>
        <w:tc>
          <w:tcPr>
            <w:tcW w:w="2243" w:type="dxa"/>
            <w:tcBorders>
              <w:top w:val="dotted" w:color="auto" w:sz="4" w:space="0"/>
              <w:left w:val="dotted" w:color="auto" w:sz="4" w:space="0"/>
              <w:bottom w:val="dotted" w:color="auto" w:sz="4" w:space="0"/>
              <w:right w:val="dotted" w:color="auto" w:sz="4" w:space="0"/>
            </w:tcBorders>
            <w:noWrap w:val="0"/>
            <w:vAlign w:val="bottom"/>
          </w:tcPr>
          <w:p w14:paraId="001816E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99,523.54 </w:t>
            </w:r>
          </w:p>
        </w:tc>
      </w:tr>
      <w:tr w14:paraId="2FCB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543" w:type="dxa"/>
            <w:tcBorders>
              <w:top w:val="dotted" w:color="auto" w:sz="4" w:space="0"/>
              <w:left w:val="dotted" w:color="auto" w:sz="4" w:space="0"/>
              <w:bottom w:val="single" w:color="auto" w:sz="12" w:space="0"/>
              <w:right w:val="dotted" w:color="auto" w:sz="4" w:space="0"/>
            </w:tcBorders>
            <w:noWrap w:val="0"/>
            <w:vAlign w:val="bottom"/>
          </w:tcPr>
          <w:p w14:paraId="034DDA24">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p>
        </w:tc>
        <w:tc>
          <w:tcPr>
            <w:tcW w:w="4448" w:type="dxa"/>
            <w:tcBorders>
              <w:top w:val="dotted" w:color="auto" w:sz="4" w:space="0"/>
              <w:left w:val="dotted" w:color="auto" w:sz="4" w:space="0"/>
              <w:bottom w:val="single" w:color="auto" w:sz="12" w:space="0"/>
              <w:right w:val="dotted" w:color="auto" w:sz="4" w:space="0"/>
            </w:tcBorders>
            <w:noWrap w:val="0"/>
            <w:vAlign w:val="bottom"/>
          </w:tcPr>
          <w:p w14:paraId="1C5AC1F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2243" w:type="dxa"/>
            <w:tcBorders>
              <w:top w:val="dotted" w:color="auto" w:sz="4" w:space="0"/>
              <w:left w:val="dotted" w:color="auto" w:sz="4" w:space="0"/>
              <w:bottom w:val="single" w:color="auto" w:sz="12" w:space="0"/>
              <w:right w:val="dotted" w:color="auto" w:sz="4" w:space="0"/>
            </w:tcBorders>
            <w:noWrap w:val="0"/>
            <w:vAlign w:val="bottom"/>
          </w:tcPr>
          <w:p w14:paraId="03479C2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 5,338,679.38 </w:t>
            </w:r>
          </w:p>
        </w:tc>
      </w:tr>
    </w:tbl>
    <w:p w14:paraId="2BEA5A12">
      <w:pPr>
        <w:spacing w:line="480" w:lineRule="exact"/>
        <w:ind w:firstLine="480" w:firstLineChars="200"/>
        <w:rPr>
          <w:rFonts w:ascii="宋体" w:hAnsi="宋体" w:cs="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eastAsia="zh-CN"/>
        </w:rPr>
        <w:t>、</w:t>
      </w:r>
      <w:r>
        <w:rPr>
          <w:rFonts w:ascii="宋体" w:hAnsi="宋体" w:cs="宋体"/>
          <w:kern w:val="0"/>
          <w:sz w:val="24"/>
          <w:szCs w:val="24"/>
          <w:highlight w:val="none"/>
        </w:rPr>
        <w:t>本村镇银行无对外担保、融资保函、非融资保函、贷款承诺、金融期货、金融期权等或有风险的表外业务。</w:t>
      </w:r>
    </w:p>
    <w:p w14:paraId="53352A10">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重大合同及其履行情况</w:t>
      </w:r>
    </w:p>
    <w:p w14:paraId="3303E264">
      <w:pPr>
        <w:autoSpaceDE w:val="0"/>
        <w:autoSpaceDN w:val="0"/>
        <w:spacing w:line="480" w:lineRule="exact"/>
        <w:ind w:firstLine="480" w:firstLineChars="200"/>
        <w:jc w:val="left"/>
        <w:rPr>
          <w:rFonts w:ascii="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报告期内本村镇银行没有重大托管、承包、租赁事项。</w:t>
      </w:r>
    </w:p>
    <w:p w14:paraId="4EE86AE9">
      <w:pPr>
        <w:autoSpaceDE w:val="0"/>
        <w:autoSpaceDN w:val="0"/>
        <w:spacing w:line="480" w:lineRule="exact"/>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报告期内，除正常的银行经营范围内的担保业务外，本村镇银行无其他需要披露的重大担保事项。</w:t>
      </w:r>
    </w:p>
    <w:p w14:paraId="3DAA734A">
      <w:pPr>
        <w:tabs>
          <w:tab w:val="left" w:pos="720"/>
        </w:tabs>
        <w:autoSpaceDE w:val="0"/>
        <w:autoSpaceDN w:val="0"/>
        <w:spacing w:line="480" w:lineRule="exact"/>
        <w:ind w:firstLine="480" w:firstLineChars="200"/>
        <w:jc w:val="left"/>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报告期内本村镇银行未发生委托他人进行现金资产管理事项。</w:t>
      </w:r>
    </w:p>
    <w:p w14:paraId="1C22D562">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lang w:eastAsia="zh-CN"/>
        </w:rPr>
        <w:t>、</w:t>
      </w:r>
      <w:r>
        <w:rPr>
          <w:rFonts w:hint="eastAsia" w:ascii="宋体" w:hAnsi="宋体" w:cs="宋体"/>
          <w:sz w:val="24"/>
          <w:szCs w:val="24"/>
          <w:highlight w:val="none"/>
        </w:rPr>
        <w:t>本村镇银行或持股</w:t>
      </w:r>
      <w:r>
        <w:rPr>
          <w:rFonts w:ascii="宋体" w:hAnsi="宋体" w:cs="宋体"/>
          <w:sz w:val="24"/>
          <w:szCs w:val="24"/>
          <w:highlight w:val="none"/>
        </w:rPr>
        <w:t>5%</w:t>
      </w:r>
      <w:r>
        <w:rPr>
          <w:rFonts w:hint="eastAsia" w:ascii="宋体" w:hAnsi="宋体" w:cs="宋体"/>
          <w:sz w:val="24"/>
          <w:szCs w:val="24"/>
          <w:highlight w:val="none"/>
        </w:rPr>
        <w:t>以上股东报告期内的承诺事项</w:t>
      </w:r>
    </w:p>
    <w:p w14:paraId="409CD8D8">
      <w:pPr>
        <w:spacing w:line="480" w:lineRule="exact"/>
        <w:ind w:firstLine="480" w:firstLineChars="200"/>
        <w:rPr>
          <w:rFonts w:ascii="宋体"/>
          <w:kern w:val="0"/>
          <w:sz w:val="24"/>
          <w:szCs w:val="24"/>
          <w:highlight w:val="none"/>
        </w:rPr>
      </w:pPr>
      <w:r>
        <w:rPr>
          <w:rFonts w:hint="eastAsia" w:ascii="宋体" w:hAnsi="宋体" w:cs="宋体"/>
          <w:kern w:val="0"/>
          <w:sz w:val="24"/>
          <w:szCs w:val="24"/>
          <w:highlight w:val="none"/>
        </w:rPr>
        <w:t>本村镇银行或持股</w:t>
      </w:r>
      <w:r>
        <w:rPr>
          <w:rFonts w:ascii="宋体" w:hAnsi="宋体" w:cs="宋体"/>
          <w:kern w:val="0"/>
          <w:sz w:val="24"/>
          <w:szCs w:val="24"/>
          <w:highlight w:val="none"/>
        </w:rPr>
        <w:t>5%</w:t>
      </w:r>
      <w:r>
        <w:rPr>
          <w:rFonts w:hint="eastAsia" w:ascii="宋体" w:hAnsi="宋体" w:cs="宋体"/>
          <w:kern w:val="0"/>
          <w:sz w:val="24"/>
          <w:szCs w:val="24"/>
          <w:highlight w:val="none"/>
        </w:rPr>
        <w:t>以上股东报告期内无需要披露的重大承诺事项。</w:t>
      </w:r>
    </w:p>
    <w:p w14:paraId="5F0FD778">
      <w:pPr>
        <w:pStyle w:val="20"/>
        <w:spacing w:before="0" w:after="0" w:line="480" w:lineRule="exact"/>
        <w:ind w:firstLine="562" w:firstLineChars="200"/>
        <w:jc w:val="both"/>
        <w:rPr>
          <w:rFonts w:ascii="宋体" w:hAnsi="宋体" w:cs="宋体"/>
          <w:sz w:val="28"/>
          <w:szCs w:val="28"/>
          <w:highlight w:val="none"/>
        </w:rPr>
      </w:pPr>
      <w:r>
        <w:rPr>
          <w:rFonts w:hint="eastAsia" w:ascii="宋体" w:hAnsi="宋体" w:cs="宋体"/>
          <w:sz w:val="28"/>
          <w:szCs w:val="28"/>
          <w:highlight w:val="none"/>
        </w:rPr>
        <w:t>十一、资产负债表日后事项</w:t>
      </w:r>
    </w:p>
    <w:p w14:paraId="1B0F1FC7">
      <w:pPr>
        <w:spacing w:line="48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截至财务报表批准报出日，本村镇银行无应在本附注中披露的资产负债表日后事项。</w:t>
      </w:r>
    </w:p>
    <w:p w14:paraId="54092668">
      <w:pPr>
        <w:pStyle w:val="20"/>
        <w:numPr>
          <w:ilvl w:val="0"/>
          <w:numId w:val="5"/>
        </w:numPr>
        <w:tabs>
          <w:tab w:val="left" w:pos="1418"/>
        </w:tabs>
        <w:spacing w:before="0" w:after="0" w:line="480" w:lineRule="exact"/>
        <w:ind w:firstLine="562" w:firstLineChars="200"/>
        <w:jc w:val="both"/>
        <w:rPr>
          <w:rFonts w:hint="eastAsia" w:ascii="宋体" w:hAnsi="宋体" w:cs="宋体"/>
          <w:sz w:val="28"/>
          <w:szCs w:val="28"/>
          <w:highlight w:val="none"/>
        </w:rPr>
      </w:pPr>
      <w:r>
        <w:rPr>
          <w:rFonts w:hint="eastAsia" w:ascii="宋体" w:hAnsi="宋体" w:cs="宋体"/>
          <w:sz w:val="28"/>
          <w:szCs w:val="28"/>
          <w:highlight w:val="none"/>
        </w:rPr>
        <w:t>其他重大事项</w:t>
      </w:r>
    </w:p>
    <w:p w14:paraId="601288E5">
      <w:pPr>
        <w:autoSpaceDE w:val="0"/>
        <w:autoSpaceDN w:val="0"/>
        <w:spacing w:line="480" w:lineRule="exact"/>
        <w:ind w:firstLine="420" w:firstLineChars="200"/>
        <w:jc w:val="left"/>
        <w:rPr>
          <w:rFonts w:hint="eastAsia" w:ascii="宋体" w:hAnsi="宋体" w:cs="宋体"/>
          <w:kern w:val="0"/>
          <w:sz w:val="24"/>
          <w:szCs w:val="24"/>
          <w:highlight w:val="none"/>
          <w:lang w:val="en-US" w:eastAsia="zh-CN"/>
        </w:rPr>
      </w:pPr>
      <w:r>
        <w:rPr>
          <w:rFonts w:hint="eastAsia"/>
          <w:highlight w:val="none"/>
          <w:lang w:val="en-US" w:eastAsia="zh-CN"/>
        </w:rPr>
        <w:t xml:space="preserve"> </w:t>
      </w:r>
      <w:r>
        <w:rPr>
          <w:rFonts w:hint="eastAsia" w:ascii="宋体" w:hAnsi="宋体" w:cs="宋体"/>
          <w:kern w:val="0"/>
          <w:sz w:val="24"/>
          <w:szCs w:val="24"/>
          <w:highlight w:val="none"/>
          <w:lang w:val="en-US" w:eastAsia="zh-CN"/>
        </w:rPr>
        <w:t xml:space="preserve"> 截至2024年12月31日，本村镇银行无应在本附注中披露的其他重要事项。</w:t>
      </w:r>
    </w:p>
    <w:p w14:paraId="35850378">
      <w:pPr>
        <w:wordWrap w:val="0"/>
        <w:spacing w:line="480" w:lineRule="exact"/>
        <w:ind w:firstLine="4320" w:firstLineChars="1800"/>
        <w:jc w:val="both"/>
        <w:rPr>
          <w:rFonts w:hint="eastAsia" w:ascii="宋体" w:hAnsi="宋体" w:cs="宋体"/>
          <w:sz w:val="24"/>
          <w:szCs w:val="24"/>
          <w:highlight w:val="none"/>
        </w:rPr>
      </w:pPr>
    </w:p>
    <w:p w14:paraId="6D3587ED">
      <w:pPr>
        <w:wordWrap w:val="0"/>
        <w:spacing w:line="480" w:lineRule="exact"/>
        <w:ind w:firstLine="4320" w:firstLineChars="1800"/>
        <w:jc w:val="both"/>
        <w:rPr>
          <w:rFonts w:hint="eastAsia" w:ascii="宋体" w:hAnsi="宋体" w:cs="宋体"/>
          <w:sz w:val="24"/>
          <w:szCs w:val="24"/>
          <w:highlight w:val="none"/>
        </w:rPr>
      </w:pPr>
    </w:p>
    <w:p w14:paraId="37D4846A">
      <w:pPr>
        <w:wordWrap w:val="0"/>
        <w:spacing w:line="480" w:lineRule="exact"/>
        <w:ind w:firstLine="4320" w:firstLineChars="1800"/>
        <w:jc w:val="both"/>
        <w:rPr>
          <w:rFonts w:hint="eastAsia" w:ascii="宋体" w:hAnsi="宋体" w:cs="宋体"/>
          <w:sz w:val="24"/>
          <w:szCs w:val="24"/>
          <w:highlight w:val="none"/>
        </w:rPr>
      </w:pPr>
    </w:p>
    <w:p w14:paraId="0633DDD3">
      <w:pPr>
        <w:wordWrap w:val="0"/>
        <w:spacing w:line="480" w:lineRule="exact"/>
        <w:ind w:firstLine="4320" w:firstLineChars="1800"/>
        <w:jc w:val="both"/>
        <w:rPr>
          <w:rFonts w:hint="eastAsia" w:ascii="宋体" w:hAnsi="宋体" w:cs="宋体"/>
          <w:sz w:val="24"/>
          <w:szCs w:val="24"/>
          <w:highlight w:val="none"/>
        </w:rPr>
      </w:pPr>
    </w:p>
    <w:p w14:paraId="2217368E">
      <w:pPr>
        <w:wordWrap w:val="0"/>
        <w:spacing w:line="480" w:lineRule="exact"/>
        <w:ind w:firstLine="4320" w:firstLineChars="1800"/>
        <w:jc w:val="both"/>
        <w:rPr>
          <w:rFonts w:hint="eastAsia" w:ascii="宋体" w:hAnsi="宋体" w:cs="宋体"/>
          <w:sz w:val="24"/>
          <w:szCs w:val="24"/>
          <w:highlight w:val="none"/>
        </w:rPr>
      </w:pPr>
    </w:p>
    <w:p w14:paraId="744A8403">
      <w:pPr>
        <w:wordWrap w:val="0"/>
        <w:spacing w:line="480" w:lineRule="exact"/>
        <w:ind w:firstLine="4320" w:firstLineChars="1800"/>
        <w:jc w:val="both"/>
        <w:rPr>
          <w:rFonts w:hint="eastAsia" w:ascii="宋体" w:hAnsi="宋体" w:cs="宋体"/>
          <w:sz w:val="24"/>
          <w:szCs w:val="24"/>
          <w:highlight w:val="none"/>
        </w:rPr>
      </w:pPr>
    </w:p>
    <w:p w14:paraId="7CB979EF">
      <w:pPr>
        <w:wordWrap w:val="0"/>
        <w:spacing w:line="480" w:lineRule="exact"/>
        <w:ind w:firstLine="4320" w:firstLineChars="1800"/>
        <w:jc w:val="both"/>
        <w:rPr>
          <w:rFonts w:hint="eastAsia" w:ascii="宋体" w:hAnsi="宋体" w:cs="宋体"/>
          <w:sz w:val="24"/>
          <w:szCs w:val="24"/>
          <w:highlight w:val="none"/>
        </w:rPr>
      </w:pPr>
    </w:p>
    <w:p w14:paraId="06C580B5">
      <w:pPr>
        <w:wordWrap w:val="0"/>
        <w:spacing w:line="480" w:lineRule="exact"/>
        <w:ind w:firstLine="4320" w:firstLineChars="1800"/>
        <w:jc w:val="both"/>
        <w:rPr>
          <w:rFonts w:ascii="宋体" w:hAnsi="宋体"/>
          <w:kern w:val="0"/>
          <w:sz w:val="24"/>
          <w:szCs w:val="24"/>
          <w:highlight w:val="none"/>
        </w:rPr>
      </w:pPr>
      <w:r>
        <w:rPr>
          <w:rFonts w:hint="eastAsia" w:ascii="宋体" w:hAnsi="宋体" w:cs="宋体"/>
          <w:sz w:val="24"/>
          <w:szCs w:val="24"/>
          <w:highlight w:val="none"/>
        </w:rPr>
        <w:t>霸州</w:t>
      </w:r>
      <w:r>
        <w:rPr>
          <w:rFonts w:hint="eastAsia" w:ascii="宋体" w:hAnsi="宋体"/>
          <w:kern w:val="0"/>
          <w:sz w:val="24"/>
          <w:szCs w:val="24"/>
          <w:highlight w:val="none"/>
        </w:rPr>
        <w:t>舜丰村镇银行股份有限公司</w:t>
      </w:r>
    </w:p>
    <w:p w14:paraId="1F0B157B">
      <w:pPr>
        <w:spacing w:line="480" w:lineRule="exact"/>
        <w:jc w:val="left"/>
        <w:rPr>
          <w:rFonts w:ascii="宋体" w:hAnsi="宋体"/>
          <w:kern w:val="0"/>
          <w:sz w:val="24"/>
          <w:szCs w:val="24"/>
          <w:highlight w:val="none"/>
        </w:rPr>
      </w:pPr>
    </w:p>
    <w:p w14:paraId="3AFD4673">
      <w:pPr>
        <w:spacing w:line="480" w:lineRule="exact"/>
        <w:ind w:firstLine="4920" w:firstLineChars="2050"/>
        <w:jc w:val="left"/>
        <w:rPr>
          <w:rFonts w:ascii="宋体" w:hAnsi="宋体"/>
          <w:kern w:val="0"/>
          <w:sz w:val="24"/>
          <w:szCs w:val="24"/>
          <w:highlight w:val="none"/>
        </w:rPr>
      </w:pPr>
      <w:r>
        <w:rPr>
          <w:rFonts w:hint="eastAsia" w:ascii="宋体" w:hAnsi="宋体"/>
          <w:kern w:val="0"/>
          <w:sz w:val="24"/>
          <w:szCs w:val="24"/>
          <w:highlight w:val="none"/>
        </w:rPr>
        <w:t>法定代表人：</w:t>
      </w:r>
    </w:p>
    <w:p w14:paraId="2E1B81D1">
      <w:pPr>
        <w:wordWrap w:val="0"/>
        <w:spacing w:line="480" w:lineRule="exact"/>
        <w:ind w:firstLine="5040" w:firstLineChars="2100"/>
        <w:jc w:val="left"/>
        <w:rPr>
          <w:rFonts w:ascii="宋体" w:hAnsi="宋体"/>
          <w:kern w:val="0"/>
          <w:sz w:val="24"/>
          <w:szCs w:val="24"/>
          <w:highlight w:val="none"/>
        </w:rPr>
      </w:pPr>
    </w:p>
    <w:p w14:paraId="22E3B823">
      <w:pPr>
        <w:wordWrap w:val="0"/>
        <w:spacing w:line="480" w:lineRule="exact"/>
        <w:ind w:firstLine="4920" w:firstLineChars="2050"/>
        <w:jc w:val="left"/>
        <w:rPr>
          <w:rFonts w:ascii="宋体" w:hAnsi="宋体"/>
          <w:kern w:val="0"/>
          <w:sz w:val="24"/>
          <w:szCs w:val="24"/>
          <w:highlight w:val="none"/>
        </w:rPr>
      </w:pPr>
      <w:r>
        <w:rPr>
          <w:rFonts w:hint="eastAsia" w:ascii="宋体" w:hAnsi="宋体"/>
          <w:kern w:val="0"/>
          <w:sz w:val="24"/>
          <w:szCs w:val="24"/>
          <w:highlight w:val="none"/>
        </w:rPr>
        <w:t>主管会计工作负责人：</w:t>
      </w:r>
    </w:p>
    <w:p w14:paraId="3B001021">
      <w:pPr>
        <w:wordWrap w:val="0"/>
        <w:spacing w:line="480" w:lineRule="exact"/>
        <w:ind w:firstLine="5040" w:firstLineChars="2100"/>
        <w:jc w:val="left"/>
        <w:rPr>
          <w:rFonts w:ascii="宋体" w:hAnsi="宋体"/>
          <w:kern w:val="0"/>
          <w:sz w:val="24"/>
          <w:szCs w:val="24"/>
          <w:highlight w:val="none"/>
        </w:rPr>
      </w:pPr>
    </w:p>
    <w:p w14:paraId="5C50376D">
      <w:pPr>
        <w:wordWrap w:val="0"/>
        <w:spacing w:line="480" w:lineRule="exact"/>
        <w:ind w:firstLine="4920" w:firstLineChars="2050"/>
        <w:jc w:val="left"/>
        <w:rPr>
          <w:rFonts w:ascii="宋体" w:hAnsi="宋体"/>
          <w:kern w:val="0"/>
          <w:sz w:val="24"/>
          <w:szCs w:val="24"/>
          <w:highlight w:val="none"/>
        </w:rPr>
      </w:pPr>
      <w:r>
        <w:rPr>
          <w:rFonts w:hint="eastAsia" w:ascii="宋体" w:hAnsi="宋体"/>
          <w:kern w:val="0"/>
          <w:sz w:val="24"/>
          <w:szCs w:val="24"/>
          <w:highlight w:val="none"/>
        </w:rPr>
        <w:t>会计机构负责人：</w:t>
      </w:r>
    </w:p>
    <w:p w14:paraId="5A1AC4B7">
      <w:pPr>
        <w:spacing w:line="480" w:lineRule="exact"/>
        <w:ind w:right="600" w:firstLine="4920" w:firstLineChars="2050"/>
        <w:rPr>
          <w:rFonts w:ascii="宋体" w:hAnsi="宋体"/>
          <w:kern w:val="0"/>
          <w:sz w:val="24"/>
          <w:szCs w:val="24"/>
          <w:highlight w:val="none"/>
        </w:rPr>
      </w:pPr>
    </w:p>
    <w:p w14:paraId="2464BFE2">
      <w:pPr>
        <w:spacing w:line="480" w:lineRule="exact"/>
        <w:ind w:right="600" w:firstLine="4920" w:firstLineChars="2050"/>
        <w:rPr>
          <w:rFonts w:ascii="宋体" w:hAnsi="宋体"/>
          <w:sz w:val="24"/>
          <w:szCs w:val="24"/>
          <w:highlight w:val="none"/>
        </w:rPr>
      </w:pPr>
      <w:r>
        <w:rPr>
          <w:rFonts w:hint="eastAsia" w:ascii="宋体" w:hAnsi="宋体"/>
          <w:kern w:val="0"/>
          <w:sz w:val="24"/>
          <w:szCs w:val="24"/>
          <w:highlight w:val="none"/>
        </w:rPr>
        <w:t>202</w:t>
      </w:r>
      <w:r>
        <w:rPr>
          <w:rFonts w:hint="eastAsia" w:ascii="宋体" w:hAnsi="宋体"/>
          <w:kern w:val="0"/>
          <w:sz w:val="24"/>
          <w:szCs w:val="24"/>
          <w:highlight w:val="none"/>
          <w:lang w:val="en-US" w:eastAsia="zh-CN"/>
        </w:rPr>
        <w:t>5</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18</w:t>
      </w:r>
      <w:r>
        <w:rPr>
          <w:rFonts w:hint="eastAsia" w:ascii="宋体" w:hAnsi="宋体"/>
          <w:kern w:val="0"/>
          <w:sz w:val="24"/>
          <w:szCs w:val="24"/>
          <w:highlight w:val="none"/>
        </w:rPr>
        <w:t>日</w:t>
      </w:r>
    </w:p>
    <w:p w14:paraId="7E36CA34">
      <w:pPr>
        <w:rPr>
          <w:highlight w:val="none"/>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五">
    <w:altName w:val="黑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09E5">
    <w:pPr>
      <w:pStyle w:val="10"/>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73136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1773136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CEC6">
    <w:pPr>
      <w:spacing w:line="1130" w:lineRule="exact"/>
      <w:ind w:firstLine="8694"/>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FB3AF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30FB3AFE">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position w:val="-22"/>
      </w:rPr>
      <w:drawing>
        <wp:inline distT="0" distB="0" distL="0" distR="0">
          <wp:extent cx="736600" cy="717550"/>
          <wp:effectExtent l="0" t="0" r="6350"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736607" cy="71758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724C">
    <w:pPr>
      <w:pStyle w:val="10"/>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BF9CE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4BBF9CE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8717">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C81E03">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3EC81E03">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val="en-US"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C920">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BA14C5">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1ABA14C5">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F004">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35F7">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36CD35F7">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B786">
    <w:pPr>
      <w:pStyle w:val="15"/>
      <w:rPr>
        <w:rFonts w:asciiTheme="minorEastAsia" w:hAnsiTheme="minorEastAsia" w:eastAsiaTheme="minorEastAsia"/>
        <w:b/>
        <w:sz w:val="20"/>
      </w:rPr>
    </w:pPr>
    <w:r>
      <w:rPr>
        <w:rFonts w:hint="eastAsia" w:asciiTheme="minorEastAsia" w:hAnsiTheme="minorEastAsia" w:eastAsiaTheme="minorEastAsia"/>
        <w:b/>
        <w:bCs/>
        <w:sz w:val="20"/>
      </w:rPr>
      <w:t>霸州舜丰村镇银行股份有限公司</w:t>
    </w:r>
    <w:r>
      <w:rPr>
        <w:rFonts w:hint="eastAsia" w:asciiTheme="minorEastAsia" w:hAnsiTheme="minorEastAsia" w:eastAsiaTheme="minorEastAsia"/>
        <w:b/>
        <w:sz w:val="20"/>
      </w:rPr>
      <w:t xml:space="preserve">                                  202</w:t>
    </w:r>
    <w:r>
      <w:rPr>
        <w:rFonts w:hint="eastAsia" w:asciiTheme="minorEastAsia" w:hAnsiTheme="minorEastAsia" w:eastAsiaTheme="minorEastAsia"/>
        <w:b/>
        <w:sz w:val="20"/>
        <w:lang w:val="en-US" w:eastAsia="zh-CN"/>
      </w:rPr>
      <w:t>4年度</w:t>
    </w:r>
    <w:r>
      <w:rPr>
        <w:rFonts w:hint="eastAsia" w:asciiTheme="minorEastAsia" w:hAnsiTheme="minorEastAsia" w:eastAsiaTheme="minorEastAsia"/>
        <w:b/>
        <w:sz w:val="20"/>
      </w:rPr>
      <w:t>财务报表附注</w:t>
    </w:r>
  </w:p>
  <w:p w14:paraId="031647DA">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D643">
    <w:pPr>
      <w:pStyle w:val="15"/>
      <w:rPr>
        <w:rFonts w:asciiTheme="minorEastAsia" w:hAnsiTheme="minorEastAsia" w:eastAsiaTheme="minorEastAsia"/>
        <w:b/>
        <w:sz w:val="20"/>
      </w:rPr>
    </w:pPr>
    <w:r>
      <w:rPr>
        <w:rFonts w:hint="eastAsia" w:asciiTheme="minorEastAsia" w:hAnsiTheme="minorEastAsia" w:eastAsiaTheme="minorEastAsia"/>
        <w:b/>
        <w:bCs/>
        <w:sz w:val="20"/>
      </w:rPr>
      <w:t>霸州舜丰村镇银行股份有限公司</w:t>
    </w:r>
    <w:r>
      <w:rPr>
        <w:rFonts w:hint="eastAsia" w:asciiTheme="minorEastAsia" w:hAnsiTheme="minorEastAsia" w:eastAsiaTheme="minorEastAsia"/>
        <w:b/>
        <w:sz w:val="20"/>
      </w:rPr>
      <w:t xml:space="preserve">                                  202</w:t>
    </w:r>
    <w:r>
      <w:rPr>
        <w:rFonts w:hint="eastAsia" w:asciiTheme="minorEastAsia" w:hAnsiTheme="minorEastAsia" w:eastAsiaTheme="minorEastAsia"/>
        <w:b/>
        <w:sz w:val="20"/>
        <w:lang w:val="en-US" w:eastAsia="zh-CN"/>
      </w:rPr>
      <w:t>4年度</w:t>
    </w:r>
    <w:r>
      <w:rPr>
        <w:rFonts w:hint="eastAsia" w:asciiTheme="minorEastAsia" w:hAnsiTheme="minorEastAsia" w:eastAsiaTheme="minorEastAsia"/>
        <w:b/>
        <w:sz w:val="20"/>
      </w:rPr>
      <w:t>财务报表附注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7A4F">
    <w:pPr>
      <w:pStyle w:val="15"/>
      <w:rPr>
        <w:rFonts w:asciiTheme="minorEastAsia" w:hAnsiTheme="minorEastAsia" w:eastAsiaTheme="minorEastAsia"/>
        <w:b/>
        <w:sz w:val="20"/>
      </w:rPr>
    </w:pPr>
    <w:r>
      <w:rPr>
        <w:rFonts w:hint="eastAsia" w:asciiTheme="minorEastAsia" w:hAnsiTheme="minorEastAsia" w:eastAsiaTheme="minorEastAsia"/>
        <w:b/>
        <w:bCs/>
        <w:sz w:val="20"/>
      </w:rPr>
      <w:t>霸州舜丰村镇银行股份有限公司</w:t>
    </w:r>
    <w:r>
      <w:rPr>
        <w:rFonts w:hint="eastAsia" w:asciiTheme="minorEastAsia" w:hAnsiTheme="minorEastAsia" w:eastAsiaTheme="minorEastAsia"/>
        <w:b/>
        <w:sz w:val="20"/>
      </w:rPr>
      <w:t xml:space="preserve">                                  202</w:t>
    </w:r>
    <w:r>
      <w:rPr>
        <w:rFonts w:hint="eastAsia" w:asciiTheme="minorEastAsia" w:hAnsiTheme="minorEastAsia" w:eastAsiaTheme="minorEastAsia"/>
        <w:b/>
        <w:sz w:val="20"/>
        <w:lang w:val="en-US" w:eastAsia="zh-CN"/>
      </w:rPr>
      <w:t>4年度</w:t>
    </w:r>
    <w:r>
      <w:rPr>
        <w:rFonts w:hint="eastAsia" w:asciiTheme="minorEastAsia" w:hAnsiTheme="minorEastAsia" w:eastAsiaTheme="minorEastAsia"/>
        <w:b/>
        <w:sz w:val="20"/>
      </w:rPr>
      <w:t>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D6B91"/>
    <w:multiLevelType w:val="multilevel"/>
    <w:tmpl w:val="1C9D6B91"/>
    <w:lvl w:ilvl="0" w:tentative="0">
      <w:start w:val="2"/>
      <w:numFmt w:val="decimalEnclosedCircle"/>
      <w:lvlText w:val="%1"/>
      <w:lvlJc w:val="left"/>
      <w:pPr>
        <w:ind w:left="840" w:hanging="360"/>
      </w:pPr>
      <w:rPr>
        <w:rFonts w:hint="default"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7CE706"/>
    <w:multiLevelType w:val="singleLevel"/>
    <w:tmpl w:val="347CE706"/>
    <w:lvl w:ilvl="0" w:tentative="0">
      <w:start w:val="13"/>
      <w:numFmt w:val="chineseCounting"/>
      <w:suff w:val="nothing"/>
      <w:lvlText w:val="（%1）"/>
      <w:lvlJc w:val="left"/>
      <w:rPr>
        <w:rFonts w:hint="eastAsia"/>
      </w:rPr>
    </w:lvl>
  </w:abstractNum>
  <w:abstractNum w:abstractNumId="2">
    <w:nsid w:val="485182B2"/>
    <w:multiLevelType w:val="singleLevel"/>
    <w:tmpl w:val="485182B2"/>
    <w:lvl w:ilvl="0" w:tentative="0">
      <w:start w:val="12"/>
      <w:numFmt w:val="chineseCounting"/>
      <w:suff w:val="nothing"/>
      <w:lvlText w:val="%1、"/>
      <w:lvlJc w:val="left"/>
      <w:rPr>
        <w:rFonts w:hint="eastAsia"/>
      </w:rPr>
    </w:lvl>
  </w:abstractNum>
  <w:abstractNum w:abstractNumId="3">
    <w:nsid w:val="54881403"/>
    <w:multiLevelType w:val="singleLevel"/>
    <w:tmpl w:val="54881403"/>
    <w:lvl w:ilvl="0" w:tentative="0">
      <w:start w:val="2"/>
      <w:numFmt w:val="chineseCounting"/>
      <w:suff w:val="nothing"/>
      <w:lvlText w:val="%1、"/>
      <w:lvlJc w:val="left"/>
      <w:rPr>
        <w:rFonts w:hint="eastAsia"/>
      </w:rPr>
    </w:lvl>
  </w:abstractNum>
  <w:abstractNum w:abstractNumId="4">
    <w:nsid w:val="59387C03"/>
    <w:multiLevelType w:val="multilevel"/>
    <w:tmpl w:val="59387C03"/>
    <w:lvl w:ilvl="0" w:tentative="0">
      <w:start w:val="1"/>
      <w:numFmt w:val="japaneseCounting"/>
      <w:lvlText w:val="（%1）"/>
      <w:lvlJc w:val="left"/>
      <w:pPr>
        <w:ind w:left="1996" w:hanging="720"/>
      </w:pPr>
      <w:rPr>
        <w:rFonts w:hint="default" w:ascii="宋体" w:hAnsi="宋体" w:eastAsia="宋体"/>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N2Y0NzgwNTk4ODk4ZTRiYTljM2IzZGQxMDMxYjcifQ=="/>
  </w:docVars>
  <w:rsids>
    <w:rsidRoot w:val="00172A27"/>
    <w:rsid w:val="000001D3"/>
    <w:rsid w:val="000009A0"/>
    <w:rsid w:val="000033AA"/>
    <w:rsid w:val="00005645"/>
    <w:rsid w:val="00006CDC"/>
    <w:rsid w:val="000071AE"/>
    <w:rsid w:val="00007A48"/>
    <w:rsid w:val="00012CD7"/>
    <w:rsid w:val="000143D8"/>
    <w:rsid w:val="00016707"/>
    <w:rsid w:val="000207B9"/>
    <w:rsid w:val="000213FD"/>
    <w:rsid w:val="000233F3"/>
    <w:rsid w:val="00024064"/>
    <w:rsid w:val="00024AE5"/>
    <w:rsid w:val="0002593D"/>
    <w:rsid w:val="00025CD3"/>
    <w:rsid w:val="000306ED"/>
    <w:rsid w:val="00030AEB"/>
    <w:rsid w:val="00031399"/>
    <w:rsid w:val="00033496"/>
    <w:rsid w:val="00035427"/>
    <w:rsid w:val="000455C8"/>
    <w:rsid w:val="00045BA6"/>
    <w:rsid w:val="000462EB"/>
    <w:rsid w:val="00046CA0"/>
    <w:rsid w:val="00047803"/>
    <w:rsid w:val="0005147D"/>
    <w:rsid w:val="00056FC9"/>
    <w:rsid w:val="00062AA4"/>
    <w:rsid w:val="000702A5"/>
    <w:rsid w:val="00070C4A"/>
    <w:rsid w:val="0008205F"/>
    <w:rsid w:val="00086F18"/>
    <w:rsid w:val="00087D0C"/>
    <w:rsid w:val="00091ABF"/>
    <w:rsid w:val="00093B23"/>
    <w:rsid w:val="0009472C"/>
    <w:rsid w:val="0009685E"/>
    <w:rsid w:val="000A00AF"/>
    <w:rsid w:val="000A0BFC"/>
    <w:rsid w:val="000A0F19"/>
    <w:rsid w:val="000A1665"/>
    <w:rsid w:val="000A320A"/>
    <w:rsid w:val="000A471A"/>
    <w:rsid w:val="000A5A36"/>
    <w:rsid w:val="000A6AC5"/>
    <w:rsid w:val="000B2B60"/>
    <w:rsid w:val="000B65C7"/>
    <w:rsid w:val="000B7F07"/>
    <w:rsid w:val="000D77F0"/>
    <w:rsid w:val="000E056E"/>
    <w:rsid w:val="000E0F41"/>
    <w:rsid w:val="000E4BF4"/>
    <w:rsid w:val="000E514D"/>
    <w:rsid w:val="000E678E"/>
    <w:rsid w:val="000E7AB0"/>
    <w:rsid w:val="000E7BDB"/>
    <w:rsid w:val="000F137A"/>
    <w:rsid w:val="000F3E46"/>
    <w:rsid w:val="000F4778"/>
    <w:rsid w:val="000F5921"/>
    <w:rsid w:val="000F7163"/>
    <w:rsid w:val="00101275"/>
    <w:rsid w:val="0010722B"/>
    <w:rsid w:val="00113777"/>
    <w:rsid w:val="00115386"/>
    <w:rsid w:val="00117CFD"/>
    <w:rsid w:val="0012086D"/>
    <w:rsid w:val="001272A0"/>
    <w:rsid w:val="00133963"/>
    <w:rsid w:val="00137709"/>
    <w:rsid w:val="00143569"/>
    <w:rsid w:val="001441AA"/>
    <w:rsid w:val="001453DE"/>
    <w:rsid w:val="001454E0"/>
    <w:rsid w:val="00146E24"/>
    <w:rsid w:val="00151905"/>
    <w:rsid w:val="0015280A"/>
    <w:rsid w:val="001547CA"/>
    <w:rsid w:val="00156A67"/>
    <w:rsid w:val="00156E75"/>
    <w:rsid w:val="0016013E"/>
    <w:rsid w:val="0017154B"/>
    <w:rsid w:val="00175EDC"/>
    <w:rsid w:val="00183120"/>
    <w:rsid w:val="001867D4"/>
    <w:rsid w:val="00190065"/>
    <w:rsid w:val="001901B9"/>
    <w:rsid w:val="001924A0"/>
    <w:rsid w:val="001A048B"/>
    <w:rsid w:val="001A0D69"/>
    <w:rsid w:val="001A1738"/>
    <w:rsid w:val="001A2442"/>
    <w:rsid w:val="001A40BD"/>
    <w:rsid w:val="001A6177"/>
    <w:rsid w:val="001A641D"/>
    <w:rsid w:val="001B05F6"/>
    <w:rsid w:val="001B24C9"/>
    <w:rsid w:val="001B30EC"/>
    <w:rsid w:val="001B3D2F"/>
    <w:rsid w:val="001C3CB8"/>
    <w:rsid w:val="001C5116"/>
    <w:rsid w:val="001C5F60"/>
    <w:rsid w:val="001D1AC7"/>
    <w:rsid w:val="001D62F6"/>
    <w:rsid w:val="001E3E82"/>
    <w:rsid w:val="001F4C01"/>
    <w:rsid w:val="001F53E0"/>
    <w:rsid w:val="0020033D"/>
    <w:rsid w:val="00204802"/>
    <w:rsid w:val="002100F7"/>
    <w:rsid w:val="00212744"/>
    <w:rsid w:val="002137A0"/>
    <w:rsid w:val="0022035A"/>
    <w:rsid w:val="002219CD"/>
    <w:rsid w:val="0022587B"/>
    <w:rsid w:val="00225F99"/>
    <w:rsid w:val="0022770C"/>
    <w:rsid w:val="0022773F"/>
    <w:rsid w:val="0022792E"/>
    <w:rsid w:val="00234E98"/>
    <w:rsid w:val="002361A1"/>
    <w:rsid w:val="00241747"/>
    <w:rsid w:val="0024285C"/>
    <w:rsid w:val="00243172"/>
    <w:rsid w:val="0024747F"/>
    <w:rsid w:val="002477AA"/>
    <w:rsid w:val="00251C4A"/>
    <w:rsid w:val="0025350F"/>
    <w:rsid w:val="002553C7"/>
    <w:rsid w:val="002554B0"/>
    <w:rsid w:val="002625AA"/>
    <w:rsid w:val="00263C55"/>
    <w:rsid w:val="00263D09"/>
    <w:rsid w:val="00265DEB"/>
    <w:rsid w:val="00270B78"/>
    <w:rsid w:val="00272FF6"/>
    <w:rsid w:val="002734DD"/>
    <w:rsid w:val="00273AEB"/>
    <w:rsid w:val="002756B6"/>
    <w:rsid w:val="00277CA8"/>
    <w:rsid w:val="00283EE7"/>
    <w:rsid w:val="00286EE7"/>
    <w:rsid w:val="0029069D"/>
    <w:rsid w:val="00294566"/>
    <w:rsid w:val="002965DB"/>
    <w:rsid w:val="00296943"/>
    <w:rsid w:val="00297907"/>
    <w:rsid w:val="002A7DF3"/>
    <w:rsid w:val="002B6F80"/>
    <w:rsid w:val="002B7E17"/>
    <w:rsid w:val="002D1641"/>
    <w:rsid w:val="002D4C05"/>
    <w:rsid w:val="002D4EF7"/>
    <w:rsid w:val="002E2600"/>
    <w:rsid w:val="002E7218"/>
    <w:rsid w:val="002F0D2B"/>
    <w:rsid w:val="002F1C2C"/>
    <w:rsid w:val="002F1C45"/>
    <w:rsid w:val="002F202E"/>
    <w:rsid w:val="002F3A19"/>
    <w:rsid w:val="002F570D"/>
    <w:rsid w:val="002F7460"/>
    <w:rsid w:val="00300C11"/>
    <w:rsid w:val="00301930"/>
    <w:rsid w:val="0030291E"/>
    <w:rsid w:val="00305766"/>
    <w:rsid w:val="003068C2"/>
    <w:rsid w:val="00306EFE"/>
    <w:rsid w:val="00313C1C"/>
    <w:rsid w:val="003207C9"/>
    <w:rsid w:val="00320B3E"/>
    <w:rsid w:val="00345975"/>
    <w:rsid w:val="003462FB"/>
    <w:rsid w:val="003504A8"/>
    <w:rsid w:val="003509C5"/>
    <w:rsid w:val="0035619E"/>
    <w:rsid w:val="0036080D"/>
    <w:rsid w:val="00362127"/>
    <w:rsid w:val="00375755"/>
    <w:rsid w:val="0038024A"/>
    <w:rsid w:val="0038373D"/>
    <w:rsid w:val="00383996"/>
    <w:rsid w:val="0038589A"/>
    <w:rsid w:val="00394514"/>
    <w:rsid w:val="00394DC0"/>
    <w:rsid w:val="003A497A"/>
    <w:rsid w:val="003B0DA6"/>
    <w:rsid w:val="003B58F4"/>
    <w:rsid w:val="003C31B4"/>
    <w:rsid w:val="003D0782"/>
    <w:rsid w:val="003D6B27"/>
    <w:rsid w:val="003D6EA1"/>
    <w:rsid w:val="003D739B"/>
    <w:rsid w:val="003E57D3"/>
    <w:rsid w:val="003E741C"/>
    <w:rsid w:val="003F17F2"/>
    <w:rsid w:val="003F1BCF"/>
    <w:rsid w:val="003F2BA0"/>
    <w:rsid w:val="003F54EA"/>
    <w:rsid w:val="003F5EA2"/>
    <w:rsid w:val="003F665D"/>
    <w:rsid w:val="003F6D08"/>
    <w:rsid w:val="00400185"/>
    <w:rsid w:val="0040550C"/>
    <w:rsid w:val="00406BB5"/>
    <w:rsid w:val="00410F83"/>
    <w:rsid w:val="0041215E"/>
    <w:rsid w:val="00414F14"/>
    <w:rsid w:val="0041620F"/>
    <w:rsid w:val="00416733"/>
    <w:rsid w:val="0042103A"/>
    <w:rsid w:val="00421796"/>
    <w:rsid w:val="0042328B"/>
    <w:rsid w:val="00423CED"/>
    <w:rsid w:val="00424569"/>
    <w:rsid w:val="004262C1"/>
    <w:rsid w:val="00426AB3"/>
    <w:rsid w:val="0042746B"/>
    <w:rsid w:val="00430003"/>
    <w:rsid w:val="004322DB"/>
    <w:rsid w:val="004345A8"/>
    <w:rsid w:val="004354E9"/>
    <w:rsid w:val="00437A45"/>
    <w:rsid w:val="00442AC6"/>
    <w:rsid w:val="004440D6"/>
    <w:rsid w:val="00450C30"/>
    <w:rsid w:val="00460B2F"/>
    <w:rsid w:val="00462584"/>
    <w:rsid w:val="0046313D"/>
    <w:rsid w:val="00463A28"/>
    <w:rsid w:val="00464167"/>
    <w:rsid w:val="00464507"/>
    <w:rsid w:val="00472C5D"/>
    <w:rsid w:val="0047365D"/>
    <w:rsid w:val="00473FFE"/>
    <w:rsid w:val="00483618"/>
    <w:rsid w:val="004853C5"/>
    <w:rsid w:val="0048691D"/>
    <w:rsid w:val="00487112"/>
    <w:rsid w:val="00490C81"/>
    <w:rsid w:val="00490E61"/>
    <w:rsid w:val="00495A99"/>
    <w:rsid w:val="00495DA8"/>
    <w:rsid w:val="004A2A7D"/>
    <w:rsid w:val="004A711F"/>
    <w:rsid w:val="004B0335"/>
    <w:rsid w:val="004B27AC"/>
    <w:rsid w:val="004B6613"/>
    <w:rsid w:val="004B6E12"/>
    <w:rsid w:val="004C372C"/>
    <w:rsid w:val="004C4A15"/>
    <w:rsid w:val="004C6611"/>
    <w:rsid w:val="004C6E27"/>
    <w:rsid w:val="004C7D66"/>
    <w:rsid w:val="004D0D9C"/>
    <w:rsid w:val="004D3087"/>
    <w:rsid w:val="004D30A4"/>
    <w:rsid w:val="004D3947"/>
    <w:rsid w:val="004D6024"/>
    <w:rsid w:val="004D7093"/>
    <w:rsid w:val="004E0065"/>
    <w:rsid w:val="004E5013"/>
    <w:rsid w:val="004F0DBF"/>
    <w:rsid w:val="004F1361"/>
    <w:rsid w:val="004F3411"/>
    <w:rsid w:val="004F4F7E"/>
    <w:rsid w:val="004F5C1A"/>
    <w:rsid w:val="00507FC5"/>
    <w:rsid w:val="005104CC"/>
    <w:rsid w:val="005106DE"/>
    <w:rsid w:val="00513401"/>
    <w:rsid w:val="00514036"/>
    <w:rsid w:val="00517D41"/>
    <w:rsid w:val="00523B53"/>
    <w:rsid w:val="005264FB"/>
    <w:rsid w:val="00531B34"/>
    <w:rsid w:val="005363BC"/>
    <w:rsid w:val="00536B2B"/>
    <w:rsid w:val="00541E6A"/>
    <w:rsid w:val="005428DB"/>
    <w:rsid w:val="00543481"/>
    <w:rsid w:val="0054465D"/>
    <w:rsid w:val="00546F89"/>
    <w:rsid w:val="00547189"/>
    <w:rsid w:val="00550914"/>
    <w:rsid w:val="0055104F"/>
    <w:rsid w:val="00553ED4"/>
    <w:rsid w:val="0055430C"/>
    <w:rsid w:val="0057165D"/>
    <w:rsid w:val="005716E1"/>
    <w:rsid w:val="00573AF1"/>
    <w:rsid w:val="005762E1"/>
    <w:rsid w:val="00585C15"/>
    <w:rsid w:val="0059426A"/>
    <w:rsid w:val="005943D3"/>
    <w:rsid w:val="0059775C"/>
    <w:rsid w:val="00597A57"/>
    <w:rsid w:val="005A77F4"/>
    <w:rsid w:val="005B3E85"/>
    <w:rsid w:val="005B7C8B"/>
    <w:rsid w:val="005C1F25"/>
    <w:rsid w:val="005D22A8"/>
    <w:rsid w:val="005D3479"/>
    <w:rsid w:val="005E51BA"/>
    <w:rsid w:val="005E72A0"/>
    <w:rsid w:val="005F054E"/>
    <w:rsid w:val="005F0700"/>
    <w:rsid w:val="005F14AF"/>
    <w:rsid w:val="005F4C34"/>
    <w:rsid w:val="005F55CD"/>
    <w:rsid w:val="00601EA5"/>
    <w:rsid w:val="00606B46"/>
    <w:rsid w:val="0061124B"/>
    <w:rsid w:val="0061485D"/>
    <w:rsid w:val="00620CA0"/>
    <w:rsid w:val="00623063"/>
    <w:rsid w:val="00627074"/>
    <w:rsid w:val="00636018"/>
    <w:rsid w:val="00636705"/>
    <w:rsid w:val="006367DA"/>
    <w:rsid w:val="00642E2D"/>
    <w:rsid w:val="00643C18"/>
    <w:rsid w:val="006466DC"/>
    <w:rsid w:val="00647DFC"/>
    <w:rsid w:val="00660513"/>
    <w:rsid w:val="00661820"/>
    <w:rsid w:val="00661ED0"/>
    <w:rsid w:val="00663708"/>
    <w:rsid w:val="00664C22"/>
    <w:rsid w:val="006656E1"/>
    <w:rsid w:val="0067270F"/>
    <w:rsid w:val="00673414"/>
    <w:rsid w:val="006769E4"/>
    <w:rsid w:val="006821EE"/>
    <w:rsid w:val="006858E3"/>
    <w:rsid w:val="00685C6E"/>
    <w:rsid w:val="006861E2"/>
    <w:rsid w:val="00690E70"/>
    <w:rsid w:val="00692785"/>
    <w:rsid w:val="0069671B"/>
    <w:rsid w:val="006A034F"/>
    <w:rsid w:val="006A40E0"/>
    <w:rsid w:val="006B095B"/>
    <w:rsid w:val="006B24DF"/>
    <w:rsid w:val="006B314F"/>
    <w:rsid w:val="006C1453"/>
    <w:rsid w:val="006C284E"/>
    <w:rsid w:val="006C4F5D"/>
    <w:rsid w:val="006D2261"/>
    <w:rsid w:val="006D7452"/>
    <w:rsid w:val="006E0224"/>
    <w:rsid w:val="006E05B3"/>
    <w:rsid w:val="006E159F"/>
    <w:rsid w:val="006E3524"/>
    <w:rsid w:val="006E5276"/>
    <w:rsid w:val="006E5933"/>
    <w:rsid w:val="006E7EB2"/>
    <w:rsid w:val="006F22D0"/>
    <w:rsid w:val="006F256F"/>
    <w:rsid w:val="006F34BE"/>
    <w:rsid w:val="006F3F9F"/>
    <w:rsid w:val="006F44A4"/>
    <w:rsid w:val="006F508E"/>
    <w:rsid w:val="006F50B8"/>
    <w:rsid w:val="006F54E4"/>
    <w:rsid w:val="007043DB"/>
    <w:rsid w:val="00705E6C"/>
    <w:rsid w:val="0070768A"/>
    <w:rsid w:val="00710B84"/>
    <w:rsid w:val="00711308"/>
    <w:rsid w:val="00721A67"/>
    <w:rsid w:val="0072470C"/>
    <w:rsid w:val="00724DA0"/>
    <w:rsid w:val="00726608"/>
    <w:rsid w:val="007318C6"/>
    <w:rsid w:val="00732EDA"/>
    <w:rsid w:val="00733674"/>
    <w:rsid w:val="0073537C"/>
    <w:rsid w:val="007374C9"/>
    <w:rsid w:val="00741D8D"/>
    <w:rsid w:val="007451CA"/>
    <w:rsid w:val="00745D89"/>
    <w:rsid w:val="00746A66"/>
    <w:rsid w:val="00746E22"/>
    <w:rsid w:val="00750737"/>
    <w:rsid w:val="007527EB"/>
    <w:rsid w:val="007534D5"/>
    <w:rsid w:val="00753ED5"/>
    <w:rsid w:val="00755D25"/>
    <w:rsid w:val="00757451"/>
    <w:rsid w:val="00762EE1"/>
    <w:rsid w:val="00765BD8"/>
    <w:rsid w:val="00766266"/>
    <w:rsid w:val="00767472"/>
    <w:rsid w:val="007800FE"/>
    <w:rsid w:val="00784535"/>
    <w:rsid w:val="0078548C"/>
    <w:rsid w:val="00786C48"/>
    <w:rsid w:val="0079065B"/>
    <w:rsid w:val="00791A0F"/>
    <w:rsid w:val="00794DD5"/>
    <w:rsid w:val="00797667"/>
    <w:rsid w:val="00797D4B"/>
    <w:rsid w:val="007A55A7"/>
    <w:rsid w:val="007A76B6"/>
    <w:rsid w:val="007B0B97"/>
    <w:rsid w:val="007B1567"/>
    <w:rsid w:val="007B237F"/>
    <w:rsid w:val="007B2E57"/>
    <w:rsid w:val="007B4318"/>
    <w:rsid w:val="007B5549"/>
    <w:rsid w:val="007B5850"/>
    <w:rsid w:val="007C0FAE"/>
    <w:rsid w:val="007C6E36"/>
    <w:rsid w:val="007C7454"/>
    <w:rsid w:val="007D3509"/>
    <w:rsid w:val="007D4CC4"/>
    <w:rsid w:val="007D6C88"/>
    <w:rsid w:val="007E41CF"/>
    <w:rsid w:val="007F18EE"/>
    <w:rsid w:val="007F1FE5"/>
    <w:rsid w:val="007F3343"/>
    <w:rsid w:val="007F510D"/>
    <w:rsid w:val="00806665"/>
    <w:rsid w:val="00807548"/>
    <w:rsid w:val="00811750"/>
    <w:rsid w:val="00811EF6"/>
    <w:rsid w:val="00814733"/>
    <w:rsid w:val="00816AC1"/>
    <w:rsid w:val="008174A2"/>
    <w:rsid w:val="00820F44"/>
    <w:rsid w:val="008228EC"/>
    <w:rsid w:val="00822BBA"/>
    <w:rsid w:val="00825EAF"/>
    <w:rsid w:val="0082710F"/>
    <w:rsid w:val="00827705"/>
    <w:rsid w:val="008408A7"/>
    <w:rsid w:val="008443FE"/>
    <w:rsid w:val="00846236"/>
    <w:rsid w:val="00854998"/>
    <w:rsid w:val="00856B78"/>
    <w:rsid w:val="00856EDD"/>
    <w:rsid w:val="008570BA"/>
    <w:rsid w:val="008613AA"/>
    <w:rsid w:val="008614D1"/>
    <w:rsid w:val="00862815"/>
    <w:rsid w:val="008666E4"/>
    <w:rsid w:val="008667AF"/>
    <w:rsid w:val="008720ED"/>
    <w:rsid w:val="00885ABD"/>
    <w:rsid w:val="008875E4"/>
    <w:rsid w:val="008903D2"/>
    <w:rsid w:val="00893092"/>
    <w:rsid w:val="008938F4"/>
    <w:rsid w:val="008939DF"/>
    <w:rsid w:val="008961B7"/>
    <w:rsid w:val="00896AC0"/>
    <w:rsid w:val="00897062"/>
    <w:rsid w:val="008A2B33"/>
    <w:rsid w:val="008A452C"/>
    <w:rsid w:val="008A6385"/>
    <w:rsid w:val="008A68BB"/>
    <w:rsid w:val="008A74A7"/>
    <w:rsid w:val="008B0842"/>
    <w:rsid w:val="008C06DF"/>
    <w:rsid w:val="008C3BA5"/>
    <w:rsid w:val="008C5A2B"/>
    <w:rsid w:val="008C5DFB"/>
    <w:rsid w:val="008C7F6E"/>
    <w:rsid w:val="008D06A0"/>
    <w:rsid w:val="008D3C93"/>
    <w:rsid w:val="008D5060"/>
    <w:rsid w:val="008D6669"/>
    <w:rsid w:val="008E02A6"/>
    <w:rsid w:val="008E043C"/>
    <w:rsid w:val="008E0E46"/>
    <w:rsid w:val="008E48D8"/>
    <w:rsid w:val="008F31EB"/>
    <w:rsid w:val="008F32F3"/>
    <w:rsid w:val="008F3A62"/>
    <w:rsid w:val="00903E4D"/>
    <w:rsid w:val="00904705"/>
    <w:rsid w:val="009101D8"/>
    <w:rsid w:val="00912C52"/>
    <w:rsid w:val="009142AD"/>
    <w:rsid w:val="0091606C"/>
    <w:rsid w:val="00917B32"/>
    <w:rsid w:val="0092304E"/>
    <w:rsid w:val="009245E5"/>
    <w:rsid w:val="00924C6F"/>
    <w:rsid w:val="009264C0"/>
    <w:rsid w:val="00926DC2"/>
    <w:rsid w:val="009327BE"/>
    <w:rsid w:val="00933B57"/>
    <w:rsid w:val="0093594C"/>
    <w:rsid w:val="0093595D"/>
    <w:rsid w:val="00940357"/>
    <w:rsid w:val="00941E5C"/>
    <w:rsid w:val="00942340"/>
    <w:rsid w:val="00944628"/>
    <w:rsid w:val="00944ED8"/>
    <w:rsid w:val="00945591"/>
    <w:rsid w:val="009552CD"/>
    <w:rsid w:val="0095632C"/>
    <w:rsid w:val="00956666"/>
    <w:rsid w:val="0095687E"/>
    <w:rsid w:val="00960283"/>
    <w:rsid w:val="00967C93"/>
    <w:rsid w:val="0097303A"/>
    <w:rsid w:val="00973350"/>
    <w:rsid w:val="009742F7"/>
    <w:rsid w:val="00974613"/>
    <w:rsid w:val="0097517E"/>
    <w:rsid w:val="00975896"/>
    <w:rsid w:val="00980B91"/>
    <w:rsid w:val="00985414"/>
    <w:rsid w:val="009878D7"/>
    <w:rsid w:val="009911BA"/>
    <w:rsid w:val="009A052B"/>
    <w:rsid w:val="009A1AA9"/>
    <w:rsid w:val="009A23CB"/>
    <w:rsid w:val="009A6837"/>
    <w:rsid w:val="009B0972"/>
    <w:rsid w:val="009B2B8F"/>
    <w:rsid w:val="009B40F2"/>
    <w:rsid w:val="009C0115"/>
    <w:rsid w:val="009C0DAA"/>
    <w:rsid w:val="009C1DF6"/>
    <w:rsid w:val="009C1FB6"/>
    <w:rsid w:val="009C2E1A"/>
    <w:rsid w:val="009C3D65"/>
    <w:rsid w:val="009C6E87"/>
    <w:rsid w:val="009C78DE"/>
    <w:rsid w:val="009C7F6C"/>
    <w:rsid w:val="009D0988"/>
    <w:rsid w:val="009D7C85"/>
    <w:rsid w:val="009E26A7"/>
    <w:rsid w:val="009F0D1E"/>
    <w:rsid w:val="009F1145"/>
    <w:rsid w:val="009F4E8E"/>
    <w:rsid w:val="009F5162"/>
    <w:rsid w:val="00A03852"/>
    <w:rsid w:val="00A040D6"/>
    <w:rsid w:val="00A06171"/>
    <w:rsid w:val="00A0640C"/>
    <w:rsid w:val="00A106AB"/>
    <w:rsid w:val="00A14283"/>
    <w:rsid w:val="00A14FEA"/>
    <w:rsid w:val="00A238FF"/>
    <w:rsid w:val="00A23A31"/>
    <w:rsid w:val="00A23AE9"/>
    <w:rsid w:val="00A23D34"/>
    <w:rsid w:val="00A3023D"/>
    <w:rsid w:val="00A317C3"/>
    <w:rsid w:val="00A333C4"/>
    <w:rsid w:val="00A3639E"/>
    <w:rsid w:val="00A37FE7"/>
    <w:rsid w:val="00A4645D"/>
    <w:rsid w:val="00A517F2"/>
    <w:rsid w:val="00A53A78"/>
    <w:rsid w:val="00A56C29"/>
    <w:rsid w:val="00A61B1A"/>
    <w:rsid w:val="00A65683"/>
    <w:rsid w:val="00A660C8"/>
    <w:rsid w:val="00A67000"/>
    <w:rsid w:val="00A71347"/>
    <w:rsid w:val="00A72F8B"/>
    <w:rsid w:val="00A76ABA"/>
    <w:rsid w:val="00A808B9"/>
    <w:rsid w:val="00A8333A"/>
    <w:rsid w:val="00A84214"/>
    <w:rsid w:val="00A8465F"/>
    <w:rsid w:val="00A86317"/>
    <w:rsid w:val="00A90319"/>
    <w:rsid w:val="00A91B74"/>
    <w:rsid w:val="00A964FE"/>
    <w:rsid w:val="00A96B1C"/>
    <w:rsid w:val="00AA115B"/>
    <w:rsid w:val="00AA2486"/>
    <w:rsid w:val="00AA2D6C"/>
    <w:rsid w:val="00AA3CEC"/>
    <w:rsid w:val="00AA4158"/>
    <w:rsid w:val="00AA528E"/>
    <w:rsid w:val="00AA5D7D"/>
    <w:rsid w:val="00AA6EFC"/>
    <w:rsid w:val="00AB0915"/>
    <w:rsid w:val="00AB18A2"/>
    <w:rsid w:val="00AB2055"/>
    <w:rsid w:val="00AB2C17"/>
    <w:rsid w:val="00AC24EC"/>
    <w:rsid w:val="00AC7BA4"/>
    <w:rsid w:val="00AD3316"/>
    <w:rsid w:val="00AD3871"/>
    <w:rsid w:val="00AD6D81"/>
    <w:rsid w:val="00AE018A"/>
    <w:rsid w:val="00AE15DE"/>
    <w:rsid w:val="00AE3E32"/>
    <w:rsid w:val="00AF07C5"/>
    <w:rsid w:val="00AF17DC"/>
    <w:rsid w:val="00AF2421"/>
    <w:rsid w:val="00AF2D2C"/>
    <w:rsid w:val="00AF2F84"/>
    <w:rsid w:val="00AF3D8B"/>
    <w:rsid w:val="00AF67CD"/>
    <w:rsid w:val="00B0739C"/>
    <w:rsid w:val="00B11066"/>
    <w:rsid w:val="00B12FD9"/>
    <w:rsid w:val="00B14C97"/>
    <w:rsid w:val="00B16572"/>
    <w:rsid w:val="00B203D0"/>
    <w:rsid w:val="00B216AC"/>
    <w:rsid w:val="00B22640"/>
    <w:rsid w:val="00B24152"/>
    <w:rsid w:val="00B30706"/>
    <w:rsid w:val="00B334E0"/>
    <w:rsid w:val="00B33756"/>
    <w:rsid w:val="00B441C8"/>
    <w:rsid w:val="00B575EE"/>
    <w:rsid w:val="00B60AD5"/>
    <w:rsid w:val="00B61B2A"/>
    <w:rsid w:val="00B61F89"/>
    <w:rsid w:val="00B62669"/>
    <w:rsid w:val="00B71B16"/>
    <w:rsid w:val="00B72ED6"/>
    <w:rsid w:val="00B8189F"/>
    <w:rsid w:val="00B82D00"/>
    <w:rsid w:val="00B8502E"/>
    <w:rsid w:val="00B93F8D"/>
    <w:rsid w:val="00B9402C"/>
    <w:rsid w:val="00B96660"/>
    <w:rsid w:val="00BA1A12"/>
    <w:rsid w:val="00BA2EE7"/>
    <w:rsid w:val="00BA35EC"/>
    <w:rsid w:val="00BA5B31"/>
    <w:rsid w:val="00BA7E6B"/>
    <w:rsid w:val="00BB0BA3"/>
    <w:rsid w:val="00BB1979"/>
    <w:rsid w:val="00BB75D0"/>
    <w:rsid w:val="00BC3326"/>
    <w:rsid w:val="00BC7BA8"/>
    <w:rsid w:val="00BD3557"/>
    <w:rsid w:val="00BE009A"/>
    <w:rsid w:val="00BE1113"/>
    <w:rsid w:val="00BE1246"/>
    <w:rsid w:val="00BE1DCC"/>
    <w:rsid w:val="00BE4961"/>
    <w:rsid w:val="00BE5B68"/>
    <w:rsid w:val="00C03E6F"/>
    <w:rsid w:val="00C0445C"/>
    <w:rsid w:val="00C05623"/>
    <w:rsid w:val="00C0755C"/>
    <w:rsid w:val="00C22100"/>
    <w:rsid w:val="00C30699"/>
    <w:rsid w:val="00C40372"/>
    <w:rsid w:val="00C45876"/>
    <w:rsid w:val="00C45880"/>
    <w:rsid w:val="00C45FFD"/>
    <w:rsid w:val="00C47945"/>
    <w:rsid w:val="00C52A65"/>
    <w:rsid w:val="00C54502"/>
    <w:rsid w:val="00C667CD"/>
    <w:rsid w:val="00C72118"/>
    <w:rsid w:val="00C7367C"/>
    <w:rsid w:val="00C815E7"/>
    <w:rsid w:val="00C82582"/>
    <w:rsid w:val="00C838C8"/>
    <w:rsid w:val="00C83C6C"/>
    <w:rsid w:val="00C90D2A"/>
    <w:rsid w:val="00C920B6"/>
    <w:rsid w:val="00C9276D"/>
    <w:rsid w:val="00C93BDB"/>
    <w:rsid w:val="00CA06C5"/>
    <w:rsid w:val="00CA1E42"/>
    <w:rsid w:val="00CA7374"/>
    <w:rsid w:val="00CB3136"/>
    <w:rsid w:val="00CB3E0D"/>
    <w:rsid w:val="00CB48E0"/>
    <w:rsid w:val="00CB4A1A"/>
    <w:rsid w:val="00CB527B"/>
    <w:rsid w:val="00CB5ABA"/>
    <w:rsid w:val="00CB77C4"/>
    <w:rsid w:val="00CC2461"/>
    <w:rsid w:val="00CC6C17"/>
    <w:rsid w:val="00CC7558"/>
    <w:rsid w:val="00CD02D3"/>
    <w:rsid w:val="00CD03D9"/>
    <w:rsid w:val="00CD51C2"/>
    <w:rsid w:val="00CE1D90"/>
    <w:rsid w:val="00CE3E94"/>
    <w:rsid w:val="00CE7C9D"/>
    <w:rsid w:val="00CF3742"/>
    <w:rsid w:val="00D12A33"/>
    <w:rsid w:val="00D20095"/>
    <w:rsid w:val="00D22D44"/>
    <w:rsid w:val="00D26052"/>
    <w:rsid w:val="00D34B01"/>
    <w:rsid w:val="00D366D0"/>
    <w:rsid w:val="00D456E9"/>
    <w:rsid w:val="00D478C6"/>
    <w:rsid w:val="00D529A7"/>
    <w:rsid w:val="00D537A1"/>
    <w:rsid w:val="00D5724F"/>
    <w:rsid w:val="00D60222"/>
    <w:rsid w:val="00D63B12"/>
    <w:rsid w:val="00D64520"/>
    <w:rsid w:val="00D703E2"/>
    <w:rsid w:val="00D70FBB"/>
    <w:rsid w:val="00D72FF5"/>
    <w:rsid w:val="00D773E9"/>
    <w:rsid w:val="00D77D50"/>
    <w:rsid w:val="00D822A0"/>
    <w:rsid w:val="00D86ECA"/>
    <w:rsid w:val="00D87176"/>
    <w:rsid w:val="00D921CD"/>
    <w:rsid w:val="00DA03AA"/>
    <w:rsid w:val="00DA4CA8"/>
    <w:rsid w:val="00DA7745"/>
    <w:rsid w:val="00DC2AAE"/>
    <w:rsid w:val="00DD2556"/>
    <w:rsid w:val="00DD2B1C"/>
    <w:rsid w:val="00DD4076"/>
    <w:rsid w:val="00DD5456"/>
    <w:rsid w:val="00DD79BB"/>
    <w:rsid w:val="00DE08E4"/>
    <w:rsid w:val="00DE09A4"/>
    <w:rsid w:val="00DE131D"/>
    <w:rsid w:val="00DF22F6"/>
    <w:rsid w:val="00DF4DBA"/>
    <w:rsid w:val="00DF5FE9"/>
    <w:rsid w:val="00E0036C"/>
    <w:rsid w:val="00E04907"/>
    <w:rsid w:val="00E06594"/>
    <w:rsid w:val="00E07F22"/>
    <w:rsid w:val="00E112A5"/>
    <w:rsid w:val="00E150E8"/>
    <w:rsid w:val="00E2679B"/>
    <w:rsid w:val="00E27A22"/>
    <w:rsid w:val="00E27D15"/>
    <w:rsid w:val="00E34899"/>
    <w:rsid w:val="00E375A9"/>
    <w:rsid w:val="00E477C3"/>
    <w:rsid w:val="00E60A79"/>
    <w:rsid w:val="00E618C7"/>
    <w:rsid w:val="00E62B50"/>
    <w:rsid w:val="00E645D0"/>
    <w:rsid w:val="00E661D8"/>
    <w:rsid w:val="00E713BF"/>
    <w:rsid w:val="00E71F65"/>
    <w:rsid w:val="00E73567"/>
    <w:rsid w:val="00E80546"/>
    <w:rsid w:val="00E83487"/>
    <w:rsid w:val="00E84D05"/>
    <w:rsid w:val="00E9176C"/>
    <w:rsid w:val="00E923E8"/>
    <w:rsid w:val="00E95A56"/>
    <w:rsid w:val="00E96493"/>
    <w:rsid w:val="00E97FFE"/>
    <w:rsid w:val="00EB3A2F"/>
    <w:rsid w:val="00EB4CE6"/>
    <w:rsid w:val="00EC0F53"/>
    <w:rsid w:val="00EC124A"/>
    <w:rsid w:val="00EC4827"/>
    <w:rsid w:val="00EC5E77"/>
    <w:rsid w:val="00EC62FC"/>
    <w:rsid w:val="00EC70EF"/>
    <w:rsid w:val="00EC72C4"/>
    <w:rsid w:val="00EC75C5"/>
    <w:rsid w:val="00ED4DB2"/>
    <w:rsid w:val="00EE1515"/>
    <w:rsid w:val="00EE17D2"/>
    <w:rsid w:val="00EE1943"/>
    <w:rsid w:val="00EF192B"/>
    <w:rsid w:val="00EF23C8"/>
    <w:rsid w:val="00EF3E6A"/>
    <w:rsid w:val="00EF599E"/>
    <w:rsid w:val="00F05553"/>
    <w:rsid w:val="00F12AE6"/>
    <w:rsid w:val="00F1390B"/>
    <w:rsid w:val="00F15878"/>
    <w:rsid w:val="00F15941"/>
    <w:rsid w:val="00F212BC"/>
    <w:rsid w:val="00F228FB"/>
    <w:rsid w:val="00F231B0"/>
    <w:rsid w:val="00F2436A"/>
    <w:rsid w:val="00F34D80"/>
    <w:rsid w:val="00F3566F"/>
    <w:rsid w:val="00F43DA3"/>
    <w:rsid w:val="00F502E3"/>
    <w:rsid w:val="00F53320"/>
    <w:rsid w:val="00F53E3E"/>
    <w:rsid w:val="00F55421"/>
    <w:rsid w:val="00F55EC9"/>
    <w:rsid w:val="00F57BB6"/>
    <w:rsid w:val="00F62328"/>
    <w:rsid w:val="00F66283"/>
    <w:rsid w:val="00F6781B"/>
    <w:rsid w:val="00F714A0"/>
    <w:rsid w:val="00F7163E"/>
    <w:rsid w:val="00F734D5"/>
    <w:rsid w:val="00F75466"/>
    <w:rsid w:val="00F801E2"/>
    <w:rsid w:val="00F8103D"/>
    <w:rsid w:val="00F85BFE"/>
    <w:rsid w:val="00F86E61"/>
    <w:rsid w:val="00F876F2"/>
    <w:rsid w:val="00F949F6"/>
    <w:rsid w:val="00F951B0"/>
    <w:rsid w:val="00FA0F13"/>
    <w:rsid w:val="00FA3957"/>
    <w:rsid w:val="00FA7A57"/>
    <w:rsid w:val="00FB15E9"/>
    <w:rsid w:val="00FB3FF4"/>
    <w:rsid w:val="00FB64C7"/>
    <w:rsid w:val="00FC133D"/>
    <w:rsid w:val="00FC137D"/>
    <w:rsid w:val="00FC1D3E"/>
    <w:rsid w:val="00FC23DB"/>
    <w:rsid w:val="00FC2B4B"/>
    <w:rsid w:val="00FC3321"/>
    <w:rsid w:val="00FC3813"/>
    <w:rsid w:val="00FD19F3"/>
    <w:rsid w:val="00FD6E76"/>
    <w:rsid w:val="00FD7DA7"/>
    <w:rsid w:val="00FE111B"/>
    <w:rsid w:val="00FE2335"/>
    <w:rsid w:val="00FE3DEF"/>
    <w:rsid w:val="00FE4A71"/>
    <w:rsid w:val="00FE61F2"/>
    <w:rsid w:val="00FF62E8"/>
    <w:rsid w:val="017B447E"/>
    <w:rsid w:val="018D0DA5"/>
    <w:rsid w:val="01C14202"/>
    <w:rsid w:val="0204742C"/>
    <w:rsid w:val="0261662C"/>
    <w:rsid w:val="027B2CDB"/>
    <w:rsid w:val="03282B75"/>
    <w:rsid w:val="037642DF"/>
    <w:rsid w:val="03C70711"/>
    <w:rsid w:val="04161698"/>
    <w:rsid w:val="04695C6C"/>
    <w:rsid w:val="04781A0B"/>
    <w:rsid w:val="04877EA0"/>
    <w:rsid w:val="04B05649"/>
    <w:rsid w:val="050634BB"/>
    <w:rsid w:val="055E67BC"/>
    <w:rsid w:val="057C19CF"/>
    <w:rsid w:val="062B6E9A"/>
    <w:rsid w:val="068B011B"/>
    <w:rsid w:val="06C614E6"/>
    <w:rsid w:val="0728596A"/>
    <w:rsid w:val="07F341CA"/>
    <w:rsid w:val="07F45E70"/>
    <w:rsid w:val="08273E74"/>
    <w:rsid w:val="08BA0844"/>
    <w:rsid w:val="08E5368D"/>
    <w:rsid w:val="08E9737B"/>
    <w:rsid w:val="08FC70AE"/>
    <w:rsid w:val="09774987"/>
    <w:rsid w:val="0A726EFC"/>
    <w:rsid w:val="0AD55E09"/>
    <w:rsid w:val="0B380146"/>
    <w:rsid w:val="0B511C26"/>
    <w:rsid w:val="0B6C7DF0"/>
    <w:rsid w:val="0BC419DA"/>
    <w:rsid w:val="0BDC4F75"/>
    <w:rsid w:val="0C2661F0"/>
    <w:rsid w:val="0C2B1A59"/>
    <w:rsid w:val="0D1129FD"/>
    <w:rsid w:val="0D163A9E"/>
    <w:rsid w:val="0D6836FA"/>
    <w:rsid w:val="0DDF0D4D"/>
    <w:rsid w:val="0E534CB5"/>
    <w:rsid w:val="0E576B35"/>
    <w:rsid w:val="0E7B0A75"/>
    <w:rsid w:val="0E853E4A"/>
    <w:rsid w:val="0F0D5446"/>
    <w:rsid w:val="0F3F1AA3"/>
    <w:rsid w:val="0F527DDE"/>
    <w:rsid w:val="0FB81855"/>
    <w:rsid w:val="0FBA737B"/>
    <w:rsid w:val="10A122E9"/>
    <w:rsid w:val="10AD5132"/>
    <w:rsid w:val="10B95885"/>
    <w:rsid w:val="1106273E"/>
    <w:rsid w:val="114A2981"/>
    <w:rsid w:val="116B1C5C"/>
    <w:rsid w:val="116C0931"/>
    <w:rsid w:val="1191235E"/>
    <w:rsid w:val="11AA0456"/>
    <w:rsid w:val="11AB1672"/>
    <w:rsid w:val="12141889"/>
    <w:rsid w:val="123553DF"/>
    <w:rsid w:val="124473D0"/>
    <w:rsid w:val="129E11D6"/>
    <w:rsid w:val="12AD31C8"/>
    <w:rsid w:val="12B67D76"/>
    <w:rsid w:val="12F2507E"/>
    <w:rsid w:val="130A061A"/>
    <w:rsid w:val="131C1135"/>
    <w:rsid w:val="13946135"/>
    <w:rsid w:val="13D25400"/>
    <w:rsid w:val="13F60B9E"/>
    <w:rsid w:val="14B22D17"/>
    <w:rsid w:val="14FE41AE"/>
    <w:rsid w:val="153C6A85"/>
    <w:rsid w:val="15EC04AB"/>
    <w:rsid w:val="1625260D"/>
    <w:rsid w:val="169564AB"/>
    <w:rsid w:val="16FD2057"/>
    <w:rsid w:val="16FE0496"/>
    <w:rsid w:val="171E28E6"/>
    <w:rsid w:val="172E28C3"/>
    <w:rsid w:val="1740285C"/>
    <w:rsid w:val="17414F2D"/>
    <w:rsid w:val="175E52D9"/>
    <w:rsid w:val="17613439"/>
    <w:rsid w:val="179B5CE4"/>
    <w:rsid w:val="188449CB"/>
    <w:rsid w:val="1A294579"/>
    <w:rsid w:val="1A4A39F2"/>
    <w:rsid w:val="1B291859"/>
    <w:rsid w:val="1B334486"/>
    <w:rsid w:val="1C056B58"/>
    <w:rsid w:val="1C0E2F29"/>
    <w:rsid w:val="1C316C17"/>
    <w:rsid w:val="1C512E16"/>
    <w:rsid w:val="1CE27F12"/>
    <w:rsid w:val="1CE974F2"/>
    <w:rsid w:val="1CEB13E2"/>
    <w:rsid w:val="1D0205B4"/>
    <w:rsid w:val="1D5C1A72"/>
    <w:rsid w:val="1DDB508D"/>
    <w:rsid w:val="1DF35330"/>
    <w:rsid w:val="1DF443A0"/>
    <w:rsid w:val="1E1E6AA0"/>
    <w:rsid w:val="1E312EFF"/>
    <w:rsid w:val="1E6E5F01"/>
    <w:rsid w:val="1F4B4494"/>
    <w:rsid w:val="1F8F4381"/>
    <w:rsid w:val="1FA6791C"/>
    <w:rsid w:val="20254CE5"/>
    <w:rsid w:val="20393E9D"/>
    <w:rsid w:val="20887022"/>
    <w:rsid w:val="20937EA1"/>
    <w:rsid w:val="20AB331B"/>
    <w:rsid w:val="20B47E17"/>
    <w:rsid w:val="20C362A4"/>
    <w:rsid w:val="21213453"/>
    <w:rsid w:val="215B0293"/>
    <w:rsid w:val="21F77FBB"/>
    <w:rsid w:val="22001566"/>
    <w:rsid w:val="22162B37"/>
    <w:rsid w:val="22717D6E"/>
    <w:rsid w:val="2288155B"/>
    <w:rsid w:val="22E04EF3"/>
    <w:rsid w:val="23AD1279"/>
    <w:rsid w:val="24613E12"/>
    <w:rsid w:val="24AD7057"/>
    <w:rsid w:val="251D5F8B"/>
    <w:rsid w:val="2572277A"/>
    <w:rsid w:val="25902C01"/>
    <w:rsid w:val="25BC1C48"/>
    <w:rsid w:val="25C91C6F"/>
    <w:rsid w:val="26453A33"/>
    <w:rsid w:val="266C4862"/>
    <w:rsid w:val="26A36964"/>
    <w:rsid w:val="26AC05BF"/>
    <w:rsid w:val="26BC7A25"/>
    <w:rsid w:val="26EF3957"/>
    <w:rsid w:val="278F0C96"/>
    <w:rsid w:val="288A7DDB"/>
    <w:rsid w:val="28A46E7E"/>
    <w:rsid w:val="292D69B8"/>
    <w:rsid w:val="29BD5F8E"/>
    <w:rsid w:val="29EB02E0"/>
    <w:rsid w:val="2A1457C3"/>
    <w:rsid w:val="2A273408"/>
    <w:rsid w:val="2A5C1303"/>
    <w:rsid w:val="2A8A2314"/>
    <w:rsid w:val="2ABE1FBE"/>
    <w:rsid w:val="2C047CAB"/>
    <w:rsid w:val="2C0B2FE1"/>
    <w:rsid w:val="2C2C2F57"/>
    <w:rsid w:val="2C6426F1"/>
    <w:rsid w:val="2C6B1F14"/>
    <w:rsid w:val="2C7117C7"/>
    <w:rsid w:val="2CC87124"/>
    <w:rsid w:val="2D4F7ACF"/>
    <w:rsid w:val="2DCA0C7A"/>
    <w:rsid w:val="2E1F0FC6"/>
    <w:rsid w:val="2E352597"/>
    <w:rsid w:val="2E7A61FC"/>
    <w:rsid w:val="2F032695"/>
    <w:rsid w:val="309D61D2"/>
    <w:rsid w:val="31D5723A"/>
    <w:rsid w:val="31D64091"/>
    <w:rsid w:val="31E3230A"/>
    <w:rsid w:val="322272D6"/>
    <w:rsid w:val="32335040"/>
    <w:rsid w:val="32713DBA"/>
    <w:rsid w:val="32F04CDF"/>
    <w:rsid w:val="342F4C08"/>
    <w:rsid w:val="34BB756E"/>
    <w:rsid w:val="34DB19BE"/>
    <w:rsid w:val="34F65E22"/>
    <w:rsid w:val="3643781B"/>
    <w:rsid w:val="36CB03AA"/>
    <w:rsid w:val="37362EDC"/>
    <w:rsid w:val="37441A9D"/>
    <w:rsid w:val="37935E3E"/>
    <w:rsid w:val="379C71E3"/>
    <w:rsid w:val="37F211B8"/>
    <w:rsid w:val="38194CD8"/>
    <w:rsid w:val="38D34E86"/>
    <w:rsid w:val="3935200A"/>
    <w:rsid w:val="39B10AE7"/>
    <w:rsid w:val="39DA197B"/>
    <w:rsid w:val="39DC7D6B"/>
    <w:rsid w:val="3A371445"/>
    <w:rsid w:val="3A5C70FE"/>
    <w:rsid w:val="3A726921"/>
    <w:rsid w:val="3AF84032"/>
    <w:rsid w:val="3B131EB2"/>
    <w:rsid w:val="3B25744C"/>
    <w:rsid w:val="3B4A51A8"/>
    <w:rsid w:val="3C08753D"/>
    <w:rsid w:val="3C88242C"/>
    <w:rsid w:val="3C9E1C4F"/>
    <w:rsid w:val="3D2959BD"/>
    <w:rsid w:val="3D95181A"/>
    <w:rsid w:val="3DCB25D0"/>
    <w:rsid w:val="3DF8713D"/>
    <w:rsid w:val="3E66679D"/>
    <w:rsid w:val="3FE8675E"/>
    <w:rsid w:val="3FEB6F5A"/>
    <w:rsid w:val="3FFD6C8D"/>
    <w:rsid w:val="400224F5"/>
    <w:rsid w:val="40AA2F30"/>
    <w:rsid w:val="413C37E5"/>
    <w:rsid w:val="419D0727"/>
    <w:rsid w:val="419E7FFC"/>
    <w:rsid w:val="4257623C"/>
    <w:rsid w:val="429733C9"/>
    <w:rsid w:val="42B850ED"/>
    <w:rsid w:val="430827A0"/>
    <w:rsid w:val="43493F70"/>
    <w:rsid w:val="43657023"/>
    <w:rsid w:val="43D9531B"/>
    <w:rsid w:val="43DE66AE"/>
    <w:rsid w:val="44471EE7"/>
    <w:rsid w:val="44F92119"/>
    <w:rsid w:val="45884393"/>
    <w:rsid w:val="458F65D9"/>
    <w:rsid w:val="464C6278"/>
    <w:rsid w:val="46650F80"/>
    <w:rsid w:val="46FC5D03"/>
    <w:rsid w:val="47152B0E"/>
    <w:rsid w:val="47220F3E"/>
    <w:rsid w:val="476D294A"/>
    <w:rsid w:val="477E77F8"/>
    <w:rsid w:val="480B761B"/>
    <w:rsid w:val="48927C32"/>
    <w:rsid w:val="48FA1FBB"/>
    <w:rsid w:val="49C06ED4"/>
    <w:rsid w:val="4A677B24"/>
    <w:rsid w:val="4A9426B5"/>
    <w:rsid w:val="4ACD142B"/>
    <w:rsid w:val="4B6A01E8"/>
    <w:rsid w:val="4B7C13AE"/>
    <w:rsid w:val="4BBB58FC"/>
    <w:rsid w:val="4BF453E8"/>
    <w:rsid w:val="4C1C049B"/>
    <w:rsid w:val="4C2D4156"/>
    <w:rsid w:val="4CA53565"/>
    <w:rsid w:val="4CAD0199"/>
    <w:rsid w:val="4D381304"/>
    <w:rsid w:val="4DC70A17"/>
    <w:rsid w:val="4DF911D3"/>
    <w:rsid w:val="4E281379"/>
    <w:rsid w:val="4E295B9E"/>
    <w:rsid w:val="4E6D3230"/>
    <w:rsid w:val="4E8B1B92"/>
    <w:rsid w:val="4ECE0172"/>
    <w:rsid w:val="4EDF7C29"/>
    <w:rsid w:val="4F1B0EDE"/>
    <w:rsid w:val="4F4A531F"/>
    <w:rsid w:val="4F561F16"/>
    <w:rsid w:val="506A5963"/>
    <w:rsid w:val="507C59AC"/>
    <w:rsid w:val="5096685D"/>
    <w:rsid w:val="50AA42C7"/>
    <w:rsid w:val="5100482F"/>
    <w:rsid w:val="51962A9D"/>
    <w:rsid w:val="51A7556C"/>
    <w:rsid w:val="536A41E2"/>
    <w:rsid w:val="5378601A"/>
    <w:rsid w:val="53E57260"/>
    <w:rsid w:val="540C5299"/>
    <w:rsid w:val="54396572"/>
    <w:rsid w:val="5456222D"/>
    <w:rsid w:val="54662BFB"/>
    <w:rsid w:val="55324ADE"/>
    <w:rsid w:val="55807CEC"/>
    <w:rsid w:val="55EB785C"/>
    <w:rsid w:val="567D5FDA"/>
    <w:rsid w:val="56B934B6"/>
    <w:rsid w:val="56CB4F97"/>
    <w:rsid w:val="57062473"/>
    <w:rsid w:val="57186EA0"/>
    <w:rsid w:val="587F428B"/>
    <w:rsid w:val="589F66DB"/>
    <w:rsid w:val="591075D9"/>
    <w:rsid w:val="5A771EDB"/>
    <w:rsid w:val="5AAD1584"/>
    <w:rsid w:val="5AF01470"/>
    <w:rsid w:val="5B1E7E62"/>
    <w:rsid w:val="5BB26726"/>
    <w:rsid w:val="5C027BA7"/>
    <w:rsid w:val="5C2C472A"/>
    <w:rsid w:val="5CD34BA6"/>
    <w:rsid w:val="5CDC7EFE"/>
    <w:rsid w:val="5D072AA1"/>
    <w:rsid w:val="5D184CAE"/>
    <w:rsid w:val="5D305FDD"/>
    <w:rsid w:val="5D9562FF"/>
    <w:rsid w:val="5DB768E5"/>
    <w:rsid w:val="5DDF5F3E"/>
    <w:rsid w:val="5E192A8C"/>
    <w:rsid w:val="5E420235"/>
    <w:rsid w:val="5F6C7AB0"/>
    <w:rsid w:val="5FA32F55"/>
    <w:rsid w:val="5FAB5F64"/>
    <w:rsid w:val="6115578D"/>
    <w:rsid w:val="61923281"/>
    <w:rsid w:val="61D54F1C"/>
    <w:rsid w:val="62EE2B60"/>
    <w:rsid w:val="632D47FF"/>
    <w:rsid w:val="636D5D54"/>
    <w:rsid w:val="638C53B0"/>
    <w:rsid w:val="63C139AA"/>
    <w:rsid w:val="63FD6F43"/>
    <w:rsid w:val="643C1282"/>
    <w:rsid w:val="648A6492"/>
    <w:rsid w:val="64B8619E"/>
    <w:rsid w:val="65724BD9"/>
    <w:rsid w:val="657A6506"/>
    <w:rsid w:val="65896749"/>
    <w:rsid w:val="65F4280F"/>
    <w:rsid w:val="65FC516D"/>
    <w:rsid w:val="660364FC"/>
    <w:rsid w:val="670F7122"/>
    <w:rsid w:val="675226D4"/>
    <w:rsid w:val="67D67034"/>
    <w:rsid w:val="67F307F2"/>
    <w:rsid w:val="68057921"/>
    <w:rsid w:val="68D51CA5"/>
    <w:rsid w:val="6A2071F6"/>
    <w:rsid w:val="6A4D243B"/>
    <w:rsid w:val="6A645E2C"/>
    <w:rsid w:val="6ABE50E7"/>
    <w:rsid w:val="6B59096C"/>
    <w:rsid w:val="6B6317EA"/>
    <w:rsid w:val="6B9D4CFC"/>
    <w:rsid w:val="6B9E0A74"/>
    <w:rsid w:val="6BD5796C"/>
    <w:rsid w:val="6C491C2E"/>
    <w:rsid w:val="6C640C59"/>
    <w:rsid w:val="6D605FE2"/>
    <w:rsid w:val="6D9304B1"/>
    <w:rsid w:val="6DE22E9A"/>
    <w:rsid w:val="6EA91C0A"/>
    <w:rsid w:val="6EF8049C"/>
    <w:rsid w:val="6FFB310E"/>
    <w:rsid w:val="70587444"/>
    <w:rsid w:val="707659EB"/>
    <w:rsid w:val="70C3141E"/>
    <w:rsid w:val="70D0347E"/>
    <w:rsid w:val="70EC5DDE"/>
    <w:rsid w:val="70FF3919"/>
    <w:rsid w:val="711056DC"/>
    <w:rsid w:val="716D6F1F"/>
    <w:rsid w:val="72444124"/>
    <w:rsid w:val="72A801AB"/>
    <w:rsid w:val="72D66D46"/>
    <w:rsid w:val="73005B71"/>
    <w:rsid w:val="7363682B"/>
    <w:rsid w:val="73697BBA"/>
    <w:rsid w:val="73AC19D2"/>
    <w:rsid w:val="74015C90"/>
    <w:rsid w:val="74081181"/>
    <w:rsid w:val="742F606F"/>
    <w:rsid w:val="743735ED"/>
    <w:rsid w:val="74373814"/>
    <w:rsid w:val="7452064E"/>
    <w:rsid w:val="74C432FA"/>
    <w:rsid w:val="757A1C0A"/>
    <w:rsid w:val="75D77483"/>
    <w:rsid w:val="75DB4D9F"/>
    <w:rsid w:val="76012137"/>
    <w:rsid w:val="76257DC8"/>
    <w:rsid w:val="764A3CD3"/>
    <w:rsid w:val="76571F4C"/>
    <w:rsid w:val="769D2054"/>
    <w:rsid w:val="783267CC"/>
    <w:rsid w:val="783E4656"/>
    <w:rsid w:val="785B21C7"/>
    <w:rsid w:val="78656BA2"/>
    <w:rsid w:val="78696460"/>
    <w:rsid w:val="78CA10FB"/>
    <w:rsid w:val="79164340"/>
    <w:rsid w:val="7AA82E75"/>
    <w:rsid w:val="7AE5221C"/>
    <w:rsid w:val="7BE97AEA"/>
    <w:rsid w:val="7C2D3E7B"/>
    <w:rsid w:val="7C2D79D7"/>
    <w:rsid w:val="7C4B60AF"/>
    <w:rsid w:val="7C52743D"/>
    <w:rsid w:val="7C5C02BC"/>
    <w:rsid w:val="7CCD11BA"/>
    <w:rsid w:val="7CE04B7D"/>
    <w:rsid w:val="7CE16A13"/>
    <w:rsid w:val="7CED7166"/>
    <w:rsid w:val="7D4274B2"/>
    <w:rsid w:val="7D562F5D"/>
    <w:rsid w:val="7D871368"/>
    <w:rsid w:val="7D891584"/>
    <w:rsid w:val="7DD2672F"/>
    <w:rsid w:val="7DFF53A3"/>
    <w:rsid w:val="7E325778"/>
    <w:rsid w:val="7EA95416"/>
    <w:rsid w:val="7F005876"/>
    <w:rsid w:val="7FAC267B"/>
    <w:rsid w:val="7FD10FC1"/>
    <w:rsid w:val="7FD610A3"/>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Arial" w:hAnsi="Arial" w:eastAsia="黑体"/>
      <w:b/>
      <w:bCs/>
      <w:kern w:val="0"/>
      <w:sz w:val="28"/>
      <w:szCs w:val="28"/>
    </w:rPr>
  </w:style>
  <w:style w:type="paragraph" w:styleId="4">
    <w:name w:val="heading 3"/>
    <w:basedOn w:val="1"/>
    <w:next w:val="1"/>
    <w:link w:val="31"/>
    <w:autoRedefine/>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2"/>
    <w:autoRedefine/>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Document Map"/>
    <w:basedOn w:val="1"/>
    <w:link w:val="133"/>
    <w:autoRedefine/>
    <w:semiHidden/>
    <w:qFormat/>
    <w:uiPriority w:val="0"/>
    <w:pPr>
      <w:shd w:val="clear" w:color="auto" w:fill="000080"/>
    </w:pPr>
  </w:style>
  <w:style w:type="paragraph" w:styleId="8">
    <w:name w:val="annotation text"/>
    <w:basedOn w:val="1"/>
    <w:link w:val="118"/>
    <w:autoRedefine/>
    <w:semiHidden/>
    <w:qFormat/>
    <w:uiPriority w:val="99"/>
    <w:pPr>
      <w:jc w:val="left"/>
    </w:pPr>
    <w:rPr>
      <w:kern w:val="0"/>
    </w:rPr>
  </w:style>
  <w:style w:type="paragraph" w:styleId="9">
    <w:name w:val="Body Text 3"/>
    <w:basedOn w:val="1"/>
    <w:link w:val="114"/>
    <w:autoRedefine/>
    <w:qFormat/>
    <w:uiPriority w:val="99"/>
    <w:pPr>
      <w:snapToGrid w:val="0"/>
      <w:spacing w:line="460" w:lineRule="atLeast"/>
    </w:pPr>
    <w:rPr>
      <w:i/>
      <w:iCs/>
      <w:color w:val="0000FF"/>
      <w:kern w:val="0"/>
      <w:sz w:val="20"/>
      <w:szCs w:val="20"/>
    </w:rPr>
  </w:style>
  <w:style w:type="paragraph" w:styleId="10">
    <w:name w:val="Body Text"/>
    <w:basedOn w:val="1"/>
    <w:link w:val="115"/>
    <w:autoRedefine/>
    <w:qFormat/>
    <w:uiPriority w:val="99"/>
    <w:rPr>
      <w:color w:val="FF0000"/>
      <w:kern w:val="0"/>
      <w:sz w:val="20"/>
      <w:szCs w:val="20"/>
    </w:rPr>
  </w:style>
  <w:style w:type="paragraph" w:styleId="11">
    <w:name w:val="Plain Text"/>
    <w:basedOn w:val="1"/>
    <w:link w:val="123"/>
    <w:autoRedefine/>
    <w:qFormat/>
    <w:uiPriority w:val="99"/>
    <w:rPr>
      <w:rFonts w:ascii="宋体" w:hAnsi="Courier New"/>
      <w:kern w:val="0"/>
    </w:rPr>
  </w:style>
  <w:style w:type="paragraph" w:styleId="12">
    <w:name w:val="Body Text Indent 2"/>
    <w:basedOn w:val="1"/>
    <w:link w:val="112"/>
    <w:autoRedefine/>
    <w:qFormat/>
    <w:uiPriority w:val="99"/>
    <w:pPr>
      <w:spacing w:line="400" w:lineRule="exact"/>
      <w:ind w:firstLine="480" w:firstLineChars="200"/>
    </w:pPr>
    <w:rPr>
      <w:color w:val="FF0000"/>
      <w:kern w:val="0"/>
      <w:sz w:val="20"/>
      <w:szCs w:val="20"/>
    </w:rPr>
  </w:style>
  <w:style w:type="paragraph" w:styleId="13">
    <w:name w:val="Balloon Text"/>
    <w:basedOn w:val="1"/>
    <w:link w:val="120"/>
    <w:autoRedefine/>
    <w:semiHidden/>
    <w:qFormat/>
    <w:uiPriority w:val="99"/>
    <w:rPr>
      <w:kern w:val="0"/>
      <w:sz w:val="32"/>
      <w:szCs w:val="2"/>
    </w:rPr>
  </w:style>
  <w:style w:type="paragraph" w:styleId="14">
    <w:name w:val="footer"/>
    <w:basedOn w:val="1"/>
    <w:link w:val="34"/>
    <w:autoRedefine/>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3"/>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autoRedefine/>
    <w:unhideWhenUsed/>
    <w:qFormat/>
    <w:uiPriority w:val="39"/>
  </w:style>
  <w:style w:type="paragraph" w:styleId="17">
    <w:name w:val="Body Text Indent 3"/>
    <w:basedOn w:val="1"/>
    <w:link w:val="116"/>
    <w:autoRedefine/>
    <w:qFormat/>
    <w:uiPriority w:val="99"/>
    <w:pPr>
      <w:spacing w:after="120"/>
      <w:ind w:left="420" w:leftChars="200"/>
    </w:pPr>
    <w:rPr>
      <w:kern w:val="0"/>
      <w:sz w:val="16"/>
      <w:szCs w:val="16"/>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122"/>
    <w:autoRedefine/>
    <w:qFormat/>
    <w:uiPriority w:val="99"/>
    <w:pPr>
      <w:spacing w:before="240" w:after="60"/>
      <w:jc w:val="center"/>
      <w:outlineLvl w:val="0"/>
    </w:pPr>
    <w:rPr>
      <w:rFonts w:ascii="Cambria" w:hAnsi="Cambria"/>
      <w:b/>
      <w:bCs/>
      <w:kern w:val="0"/>
      <w:sz w:val="32"/>
      <w:szCs w:val="32"/>
    </w:rPr>
  </w:style>
  <w:style w:type="paragraph" w:styleId="21">
    <w:name w:val="annotation subject"/>
    <w:basedOn w:val="8"/>
    <w:next w:val="8"/>
    <w:link w:val="119"/>
    <w:autoRedefine/>
    <w:semiHidden/>
    <w:qFormat/>
    <w:uiPriority w:val="99"/>
    <w:rPr>
      <w:b/>
      <w:bCs/>
    </w:rPr>
  </w:style>
  <w:style w:type="character" w:styleId="24">
    <w:name w:val="Strong"/>
    <w:autoRedefine/>
    <w:qFormat/>
    <w:uiPriority w:val="99"/>
    <w:rPr>
      <w:b/>
      <w:bCs/>
    </w:rPr>
  </w:style>
  <w:style w:type="character" w:styleId="25">
    <w:name w:val="page number"/>
    <w:basedOn w:val="23"/>
    <w:autoRedefine/>
    <w:qFormat/>
    <w:uiPriority w:val="99"/>
  </w:style>
  <w:style w:type="character" w:styleId="26">
    <w:name w:val="FollowedHyperlink"/>
    <w:autoRedefine/>
    <w:qFormat/>
    <w:uiPriority w:val="99"/>
    <w:rPr>
      <w:color w:val="800080"/>
      <w:u w:val="single"/>
    </w:rPr>
  </w:style>
  <w:style w:type="character" w:styleId="27">
    <w:name w:val="Hyperlink"/>
    <w:autoRedefine/>
    <w:qFormat/>
    <w:uiPriority w:val="99"/>
    <w:rPr>
      <w:color w:val="0000FF"/>
      <w:u w:val="single"/>
    </w:rPr>
  </w:style>
  <w:style w:type="character" w:styleId="28">
    <w:name w:val="annotation reference"/>
    <w:basedOn w:val="23"/>
    <w:autoRedefine/>
    <w:semiHidden/>
    <w:unhideWhenUsed/>
    <w:qFormat/>
    <w:uiPriority w:val="99"/>
    <w:rPr>
      <w:sz w:val="21"/>
      <w:szCs w:val="21"/>
    </w:rPr>
  </w:style>
  <w:style w:type="character" w:customStyle="1" w:styleId="29">
    <w:name w:val="标题 1 字符"/>
    <w:basedOn w:val="23"/>
    <w:link w:val="2"/>
    <w:autoRedefine/>
    <w:qFormat/>
    <w:uiPriority w:val="99"/>
    <w:rPr>
      <w:rFonts w:ascii="Times New Roman" w:hAnsi="Times New Roman" w:eastAsia="宋体" w:cs="Times New Roman"/>
      <w:b/>
      <w:bCs/>
      <w:kern w:val="44"/>
      <w:sz w:val="44"/>
      <w:szCs w:val="44"/>
    </w:rPr>
  </w:style>
  <w:style w:type="character" w:customStyle="1" w:styleId="30">
    <w:name w:val="标题 2 字符"/>
    <w:basedOn w:val="23"/>
    <w:link w:val="3"/>
    <w:autoRedefine/>
    <w:qFormat/>
    <w:uiPriority w:val="99"/>
    <w:rPr>
      <w:rFonts w:ascii="Arial" w:hAnsi="Arial" w:eastAsia="黑体" w:cs="Times New Roman"/>
      <w:b/>
      <w:bCs/>
      <w:kern w:val="0"/>
      <w:sz w:val="28"/>
      <w:szCs w:val="28"/>
    </w:rPr>
  </w:style>
  <w:style w:type="character" w:customStyle="1" w:styleId="31">
    <w:name w:val="标题 3 字符"/>
    <w:basedOn w:val="23"/>
    <w:link w:val="4"/>
    <w:autoRedefine/>
    <w:qFormat/>
    <w:uiPriority w:val="99"/>
    <w:rPr>
      <w:rFonts w:ascii="Times New Roman" w:hAnsi="Times New Roman" w:eastAsia="宋体" w:cs="Times New Roman"/>
      <w:b/>
      <w:bCs/>
      <w:kern w:val="0"/>
      <w:sz w:val="32"/>
      <w:szCs w:val="32"/>
    </w:rPr>
  </w:style>
  <w:style w:type="character" w:customStyle="1" w:styleId="32">
    <w:name w:val="标题 4 字符"/>
    <w:basedOn w:val="23"/>
    <w:link w:val="5"/>
    <w:autoRedefine/>
    <w:qFormat/>
    <w:uiPriority w:val="9"/>
    <w:rPr>
      <w:rFonts w:ascii="Cambria" w:hAnsi="Cambria" w:eastAsia="宋体" w:cs="Times New Roman"/>
      <w:b/>
      <w:bCs/>
      <w:sz w:val="28"/>
      <w:szCs w:val="28"/>
    </w:rPr>
  </w:style>
  <w:style w:type="character" w:customStyle="1" w:styleId="33">
    <w:name w:val="页眉 字符"/>
    <w:basedOn w:val="23"/>
    <w:link w:val="15"/>
    <w:autoRedefine/>
    <w:qFormat/>
    <w:uiPriority w:val="99"/>
    <w:rPr>
      <w:rFonts w:ascii="Calibri" w:hAnsi="Calibri" w:eastAsia="宋体" w:cs="Times New Roman"/>
      <w:kern w:val="0"/>
      <w:sz w:val="18"/>
      <w:szCs w:val="18"/>
    </w:rPr>
  </w:style>
  <w:style w:type="character" w:customStyle="1" w:styleId="34">
    <w:name w:val="页脚 字符"/>
    <w:basedOn w:val="23"/>
    <w:link w:val="14"/>
    <w:autoRedefine/>
    <w:qFormat/>
    <w:uiPriority w:val="99"/>
    <w:rPr>
      <w:rFonts w:ascii="Calibri" w:hAnsi="Calibri" w:eastAsia="宋体" w:cs="Times New Roman"/>
      <w:kern w:val="0"/>
      <w:sz w:val="18"/>
      <w:szCs w:val="18"/>
    </w:rPr>
  </w:style>
  <w:style w:type="paragraph" w:customStyle="1" w:styleId="35">
    <w:name w:val="Default"/>
    <w:autoRedefine/>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6">
    <w:name w:val="CM4"/>
    <w:basedOn w:val="35"/>
    <w:next w:val="35"/>
    <w:autoRedefine/>
    <w:qFormat/>
    <w:uiPriority w:val="99"/>
    <w:pPr>
      <w:spacing w:after="615"/>
    </w:pPr>
    <w:rPr>
      <w:color w:val="auto"/>
    </w:rPr>
  </w:style>
  <w:style w:type="paragraph" w:customStyle="1" w:styleId="37">
    <w:name w:val="CM1"/>
    <w:basedOn w:val="35"/>
    <w:next w:val="35"/>
    <w:autoRedefine/>
    <w:qFormat/>
    <w:uiPriority w:val="99"/>
    <w:pPr>
      <w:spacing w:line="626" w:lineRule="atLeast"/>
    </w:pPr>
    <w:rPr>
      <w:color w:val="auto"/>
    </w:rPr>
  </w:style>
  <w:style w:type="paragraph" w:customStyle="1" w:styleId="38">
    <w:name w:val="CM2"/>
    <w:basedOn w:val="35"/>
    <w:next w:val="35"/>
    <w:autoRedefine/>
    <w:qFormat/>
    <w:uiPriority w:val="99"/>
    <w:rPr>
      <w:color w:val="auto"/>
    </w:rPr>
  </w:style>
  <w:style w:type="paragraph" w:customStyle="1" w:styleId="39">
    <w:name w:val="CM3"/>
    <w:basedOn w:val="35"/>
    <w:next w:val="35"/>
    <w:autoRedefine/>
    <w:qFormat/>
    <w:uiPriority w:val="99"/>
    <w:pPr>
      <w:spacing w:line="626" w:lineRule="atLeast"/>
    </w:pPr>
    <w:rPr>
      <w:color w:val="auto"/>
    </w:rPr>
  </w:style>
  <w:style w:type="paragraph" w:customStyle="1" w:styleId="40">
    <w:name w:val="CM70"/>
    <w:basedOn w:val="35"/>
    <w:next w:val="35"/>
    <w:autoRedefine/>
    <w:qFormat/>
    <w:uiPriority w:val="99"/>
    <w:pPr>
      <w:spacing w:after="910"/>
    </w:pPr>
    <w:rPr>
      <w:rFonts w:ascii="黑体" w:eastAsia="黑体" w:cs="黑体"/>
      <w:color w:val="auto"/>
    </w:rPr>
  </w:style>
  <w:style w:type="paragraph" w:customStyle="1" w:styleId="41">
    <w:name w:val="CM71"/>
    <w:basedOn w:val="35"/>
    <w:next w:val="35"/>
    <w:autoRedefine/>
    <w:qFormat/>
    <w:uiPriority w:val="99"/>
    <w:pPr>
      <w:spacing w:after="610"/>
    </w:pPr>
    <w:rPr>
      <w:rFonts w:ascii="黑体" w:eastAsia="黑体" w:cs="黑体"/>
      <w:color w:val="auto"/>
    </w:rPr>
  </w:style>
  <w:style w:type="paragraph" w:customStyle="1" w:styleId="42">
    <w:name w:val="CM72"/>
    <w:basedOn w:val="35"/>
    <w:next w:val="35"/>
    <w:autoRedefine/>
    <w:qFormat/>
    <w:uiPriority w:val="99"/>
    <w:pPr>
      <w:spacing w:after="795"/>
    </w:pPr>
    <w:rPr>
      <w:rFonts w:ascii="黑体" w:eastAsia="黑体" w:cs="黑体"/>
      <w:color w:val="auto"/>
    </w:rPr>
  </w:style>
  <w:style w:type="paragraph" w:customStyle="1" w:styleId="43">
    <w:name w:val="CM5"/>
    <w:basedOn w:val="35"/>
    <w:next w:val="35"/>
    <w:autoRedefine/>
    <w:qFormat/>
    <w:uiPriority w:val="99"/>
    <w:pPr>
      <w:spacing w:line="546" w:lineRule="atLeast"/>
    </w:pPr>
    <w:rPr>
      <w:rFonts w:ascii="黑体" w:eastAsia="黑体" w:cs="黑体"/>
      <w:color w:val="auto"/>
    </w:rPr>
  </w:style>
  <w:style w:type="paragraph" w:customStyle="1" w:styleId="44">
    <w:name w:val="CM73"/>
    <w:basedOn w:val="35"/>
    <w:next w:val="35"/>
    <w:autoRedefine/>
    <w:qFormat/>
    <w:uiPriority w:val="99"/>
    <w:pPr>
      <w:spacing w:after="488"/>
    </w:pPr>
    <w:rPr>
      <w:rFonts w:ascii="黑体" w:eastAsia="黑体" w:cs="黑体"/>
      <w:color w:val="auto"/>
    </w:rPr>
  </w:style>
  <w:style w:type="paragraph" w:customStyle="1" w:styleId="45">
    <w:name w:val="CM6"/>
    <w:basedOn w:val="35"/>
    <w:next w:val="35"/>
    <w:autoRedefine/>
    <w:qFormat/>
    <w:uiPriority w:val="99"/>
    <w:pPr>
      <w:spacing w:line="546" w:lineRule="atLeast"/>
    </w:pPr>
    <w:rPr>
      <w:rFonts w:ascii="黑体" w:eastAsia="黑体" w:cs="黑体"/>
      <w:color w:val="auto"/>
    </w:rPr>
  </w:style>
  <w:style w:type="paragraph" w:customStyle="1" w:styleId="46">
    <w:name w:val="CM7"/>
    <w:basedOn w:val="35"/>
    <w:next w:val="35"/>
    <w:autoRedefine/>
    <w:qFormat/>
    <w:uiPriority w:val="99"/>
    <w:pPr>
      <w:spacing w:line="546" w:lineRule="atLeast"/>
    </w:pPr>
    <w:rPr>
      <w:rFonts w:ascii="黑体" w:eastAsia="黑体" w:cs="黑体"/>
      <w:color w:val="auto"/>
    </w:rPr>
  </w:style>
  <w:style w:type="paragraph" w:customStyle="1" w:styleId="47">
    <w:name w:val="CM8"/>
    <w:basedOn w:val="35"/>
    <w:next w:val="35"/>
    <w:autoRedefine/>
    <w:qFormat/>
    <w:uiPriority w:val="99"/>
    <w:pPr>
      <w:spacing w:line="546" w:lineRule="atLeast"/>
    </w:pPr>
    <w:rPr>
      <w:rFonts w:ascii="黑体" w:eastAsia="黑体" w:cs="黑体"/>
      <w:color w:val="auto"/>
    </w:rPr>
  </w:style>
  <w:style w:type="paragraph" w:customStyle="1" w:styleId="48">
    <w:name w:val="CM9"/>
    <w:basedOn w:val="35"/>
    <w:next w:val="35"/>
    <w:autoRedefine/>
    <w:qFormat/>
    <w:uiPriority w:val="99"/>
    <w:pPr>
      <w:spacing w:line="546" w:lineRule="atLeast"/>
    </w:pPr>
    <w:rPr>
      <w:rFonts w:ascii="黑体" w:eastAsia="黑体" w:cs="黑体"/>
      <w:color w:val="auto"/>
    </w:rPr>
  </w:style>
  <w:style w:type="paragraph" w:customStyle="1" w:styleId="49">
    <w:name w:val="CM10"/>
    <w:basedOn w:val="35"/>
    <w:next w:val="35"/>
    <w:autoRedefine/>
    <w:qFormat/>
    <w:uiPriority w:val="99"/>
    <w:pPr>
      <w:spacing w:line="546" w:lineRule="atLeast"/>
    </w:pPr>
    <w:rPr>
      <w:rFonts w:ascii="黑体" w:eastAsia="黑体" w:cs="黑体"/>
      <w:color w:val="auto"/>
    </w:rPr>
  </w:style>
  <w:style w:type="paragraph" w:customStyle="1" w:styleId="50">
    <w:name w:val="CM11"/>
    <w:basedOn w:val="35"/>
    <w:next w:val="35"/>
    <w:autoRedefine/>
    <w:qFormat/>
    <w:uiPriority w:val="99"/>
    <w:pPr>
      <w:spacing w:line="546" w:lineRule="atLeast"/>
    </w:pPr>
    <w:rPr>
      <w:rFonts w:ascii="黑体" w:eastAsia="黑体" w:cs="黑体"/>
      <w:color w:val="auto"/>
    </w:rPr>
  </w:style>
  <w:style w:type="paragraph" w:customStyle="1" w:styleId="51">
    <w:name w:val="CM12"/>
    <w:basedOn w:val="35"/>
    <w:next w:val="35"/>
    <w:autoRedefine/>
    <w:qFormat/>
    <w:uiPriority w:val="99"/>
    <w:pPr>
      <w:spacing w:line="546" w:lineRule="atLeast"/>
    </w:pPr>
    <w:rPr>
      <w:rFonts w:ascii="黑体" w:eastAsia="黑体" w:cs="黑体"/>
      <w:color w:val="auto"/>
    </w:rPr>
  </w:style>
  <w:style w:type="paragraph" w:customStyle="1" w:styleId="52">
    <w:name w:val="CM13"/>
    <w:basedOn w:val="35"/>
    <w:next w:val="35"/>
    <w:autoRedefine/>
    <w:qFormat/>
    <w:uiPriority w:val="99"/>
    <w:pPr>
      <w:spacing w:line="546" w:lineRule="atLeast"/>
    </w:pPr>
    <w:rPr>
      <w:rFonts w:ascii="黑体" w:eastAsia="黑体" w:cs="黑体"/>
      <w:color w:val="auto"/>
    </w:rPr>
  </w:style>
  <w:style w:type="paragraph" w:customStyle="1" w:styleId="53">
    <w:name w:val="CM14"/>
    <w:basedOn w:val="35"/>
    <w:next w:val="35"/>
    <w:autoRedefine/>
    <w:qFormat/>
    <w:uiPriority w:val="99"/>
    <w:pPr>
      <w:spacing w:line="546" w:lineRule="atLeast"/>
    </w:pPr>
    <w:rPr>
      <w:rFonts w:ascii="黑体" w:eastAsia="黑体" w:cs="黑体"/>
      <w:color w:val="auto"/>
    </w:rPr>
  </w:style>
  <w:style w:type="paragraph" w:customStyle="1" w:styleId="54">
    <w:name w:val="CM15"/>
    <w:basedOn w:val="35"/>
    <w:next w:val="35"/>
    <w:autoRedefine/>
    <w:qFormat/>
    <w:uiPriority w:val="99"/>
    <w:pPr>
      <w:spacing w:line="546" w:lineRule="atLeast"/>
    </w:pPr>
    <w:rPr>
      <w:rFonts w:ascii="黑体" w:eastAsia="黑体" w:cs="黑体"/>
      <w:color w:val="auto"/>
    </w:rPr>
  </w:style>
  <w:style w:type="paragraph" w:customStyle="1" w:styleId="55">
    <w:name w:val="CM16"/>
    <w:basedOn w:val="35"/>
    <w:next w:val="35"/>
    <w:autoRedefine/>
    <w:qFormat/>
    <w:uiPriority w:val="99"/>
    <w:pPr>
      <w:spacing w:line="546" w:lineRule="atLeast"/>
    </w:pPr>
    <w:rPr>
      <w:rFonts w:ascii="黑体" w:eastAsia="黑体" w:cs="黑体"/>
      <w:color w:val="auto"/>
    </w:rPr>
  </w:style>
  <w:style w:type="paragraph" w:customStyle="1" w:styleId="56">
    <w:name w:val="CM17"/>
    <w:basedOn w:val="35"/>
    <w:next w:val="35"/>
    <w:autoRedefine/>
    <w:qFormat/>
    <w:uiPriority w:val="99"/>
    <w:pPr>
      <w:spacing w:line="546" w:lineRule="atLeast"/>
    </w:pPr>
    <w:rPr>
      <w:rFonts w:ascii="黑体" w:eastAsia="黑体" w:cs="黑体"/>
      <w:color w:val="auto"/>
    </w:rPr>
  </w:style>
  <w:style w:type="paragraph" w:customStyle="1" w:styleId="57">
    <w:name w:val="CM77"/>
    <w:basedOn w:val="35"/>
    <w:next w:val="35"/>
    <w:autoRedefine/>
    <w:qFormat/>
    <w:uiPriority w:val="99"/>
    <w:pPr>
      <w:spacing w:after="210"/>
    </w:pPr>
    <w:rPr>
      <w:rFonts w:ascii="黑体" w:eastAsia="黑体" w:cs="黑体"/>
      <w:color w:val="auto"/>
    </w:rPr>
  </w:style>
  <w:style w:type="paragraph" w:customStyle="1" w:styleId="58">
    <w:name w:val="CM18"/>
    <w:basedOn w:val="35"/>
    <w:next w:val="35"/>
    <w:autoRedefine/>
    <w:qFormat/>
    <w:uiPriority w:val="99"/>
    <w:pPr>
      <w:spacing w:line="546" w:lineRule="atLeast"/>
    </w:pPr>
    <w:rPr>
      <w:rFonts w:ascii="黑体" w:eastAsia="黑体" w:cs="黑体"/>
      <w:color w:val="auto"/>
    </w:rPr>
  </w:style>
  <w:style w:type="paragraph" w:customStyle="1" w:styleId="59">
    <w:name w:val="CM19"/>
    <w:basedOn w:val="35"/>
    <w:next w:val="35"/>
    <w:autoRedefine/>
    <w:qFormat/>
    <w:uiPriority w:val="99"/>
    <w:pPr>
      <w:spacing w:line="546" w:lineRule="atLeast"/>
    </w:pPr>
    <w:rPr>
      <w:rFonts w:ascii="黑体" w:eastAsia="黑体" w:cs="黑体"/>
      <w:color w:val="auto"/>
    </w:rPr>
  </w:style>
  <w:style w:type="paragraph" w:customStyle="1" w:styleId="60">
    <w:name w:val="CM20"/>
    <w:basedOn w:val="35"/>
    <w:next w:val="35"/>
    <w:autoRedefine/>
    <w:qFormat/>
    <w:uiPriority w:val="99"/>
    <w:pPr>
      <w:spacing w:line="546" w:lineRule="atLeast"/>
    </w:pPr>
    <w:rPr>
      <w:rFonts w:ascii="黑体" w:eastAsia="黑体" w:cs="黑体"/>
      <w:color w:val="auto"/>
    </w:rPr>
  </w:style>
  <w:style w:type="paragraph" w:customStyle="1" w:styleId="61">
    <w:name w:val="CM21"/>
    <w:basedOn w:val="35"/>
    <w:next w:val="35"/>
    <w:autoRedefine/>
    <w:qFormat/>
    <w:uiPriority w:val="99"/>
    <w:pPr>
      <w:spacing w:line="546" w:lineRule="atLeast"/>
    </w:pPr>
    <w:rPr>
      <w:rFonts w:ascii="黑体" w:eastAsia="黑体" w:cs="黑体"/>
      <w:color w:val="auto"/>
    </w:rPr>
  </w:style>
  <w:style w:type="paragraph" w:customStyle="1" w:styleId="62">
    <w:name w:val="CM22"/>
    <w:basedOn w:val="35"/>
    <w:next w:val="35"/>
    <w:autoRedefine/>
    <w:qFormat/>
    <w:uiPriority w:val="99"/>
    <w:pPr>
      <w:spacing w:line="546" w:lineRule="atLeast"/>
    </w:pPr>
    <w:rPr>
      <w:rFonts w:ascii="黑体" w:eastAsia="黑体" w:cs="黑体"/>
      <w:color w:val="auto"/>
    </w:rPr>
  </w:style>
  <w:style w:type="paragraph" w:customStyle="1" w:styleId="63">
    <w:name w:val="CM23"/>
    <w:basedOn w:val="35"/>
    <w:next w:val="35"/>
    <w:autoRedefine/>
    <w:qFormat/>
    <w:uiPriority w:val="99"/>
    <w:pPr>
      <w:spacing w:line="546" w:lineRule="atLeast"/>
    </w:pPr>
    <w:rPr>
      <w:rFonts w:ascii="黑体" w:eastAsia="黑体" w:cs="黑体"/>
      <w:color w:val="auto"/>
    </w:rPr>
  </w:style>
  <w:style w:type="paragraph" w:customStyle="1" w:styleId="64">
    <w:name w:val="CM24"/>
    <w:basedOn w:val="35"/>
    <w:next w:val="35"/>
    <w:autoRedefine/>
    <w:qFormat/>
    <w:uiPriority w:val="99"/>
    <w:pPr>
      <w:spacing w:line="546" w:lineRule="atLeast"/>
    </w:pPr>
    <w:rPr>
      <w:rFonts w:ascii="黑体" w:eastAsia="黑体" w:cs="黑体"/>
      <w:color w:val="auto"/>
    </w:rPr>
  </w:style>
  <w:style w:type="paragraph" w:customStyle="1" w:styleId="65">
    <w:name w:val="CM25"/>
    <w:basedOn w:val="35"/>
    <w:next w:val="35"/>
    <w:autoRedefine/>
    <w:qFormat/>
    <w:uiPriority w:val="99"/>
    <w:pPr>
      <w:spacing w:line="546" w:lineRule="atLeast"/>
    </w:pPr>
    <w:rPr>
      <w:rFonts w:ascii="黑体" w:eastAsia="黑体" w:cs="黑体"/>
      <w:color w:val="auto"/>
    </w:rPr>
  </w:style>
  <w:style w:type="paragraph" w:customStyle="1" w:styleId="66">
    <w:name w:val="CM26"/>
    <w:basedOn w:val="35"/>
    <w:next w:val="35"/>
    <w:autoRedefine/>
    <w:qFormat/>
    <w:uiPriority w:val="99"/>
    <w:pPr>
      <w:spacing w:line="546" w:lineRule="atLeast"/>
    </w:pPr>
    <w:rPr>
      <w:rFonts w:ascii="黑体" w:eastAsia="黑体" w:cs="黑体"/>
      <w:color w:val="auto"/>
    </w:rPr>
  </w:style>
  <w:style w:type="paragraph" w:customStyle="1" w:styleId="67">
    <w:name w:val="CM27"/>
    <w:basedOn w:val="35"/>
    <w:next w:val="35"/>
    <w:autoRedefine/>
    <w:qFormat/>
    <w:uiPriority w:val="99"/>
    <w:pPr>
      <w:spacing w:line="546" w:lineRule="atLeast"/>
    </w:pPr>
    <w:rPr>
      <w:rFonts w:ascii="黑体" w:eastAsia="黑体" w:cs="黑体"/>
      <w:color w:val="auto"/>
    </w:rPr>
  </w:style>
  <w:style w:type="paragraph" w:customStyle="1" w:styleId="68">
    <w:name w:val="CM28"/>
    <w:basedOn w:val="35"/>
    <w:next w:val="35"/>
    <w:autoRedefine/>
    <w:qFormat/>
    <w:uiPriority w:val="99"/>
    <w:pPr>
      <w:spacing w:line="546" w:lineRule="atLeast"/>
    </w:pPr>
    <w:rPr>
      <w:rFonts w:ascii="黑体" w:eastAsia="黑体" w:cs="黑体"/>
      <w:color w:val="auto"/>
    </w:rPr>
  </w:style>
  <w:style w:type="paragraph" w:customStyle="1" w:styleId="69">
    <w:name w:val="CM29"/>
    <w:basedOn w:val="35"/>
    <w:next w:val="35"/>
    <w:autoRedefine/>
    <w:qFormat/>
    <w:uiPriority w:val="99"/>
    <w:pPr>
      <w:spacing w:line="546" w:lineRule="atLeast"/>
    </w:pPr>
    <w:rPr>
      <w:rFonts w:ascii="黑体" w:eastAsia="黑体" w:cs="黑体"/>
      <w:color w:val="auto"/>
    </w:rPr>
  </w:style>
  <w:style w:type="paragraph" w:customStyle="1" w:styleId="70">
    <w:name w:val="CM30"/>
    <w:basedOn w:val="35"/>
    <w:next w:val="35"/>
    <w:autoRedefine/>
    <w:qFormat/>
    <w:uiPriority w:val="99"/>
    <w:pPr>
      <w:spacing w:line="546" w:lineRule="atLeast"/>
    </w:pPr>
    <w:rPr>
      <w:rFonts w:ascii="黑体" w:eastAsia="黑体" w:cs="黑体"/>
      <w:color w:val="auto"/>
    </w:rPr>
  </w:style>
  <w:style w:type="paragraph" w:customStyle="1" w:styleId="71">
    <w:name w:val="CM31"/>
    <w:basedOn w:val="35"/>
    <w:next w:val="35"/>
    <w:autoRedefine/>
    <w:qFormat/>
    <w:uiPriority w:val="99"/>
    <w:pPr>
      <w:spacing w:line="546" w:lineRule="atLeast"/>
    </w:pPr>
    <w:rPr>
      <w:rFonts w:ascii="黑体" w:eastAsia="黑体" w:cs="黑体"/>
      <w:color w:val="auto"/>
    </w:rPr>
  </w:style>
  <w:style w:type="paragraph" w:customStyle="1" w:styleId="72">
    <w:name w:val="CM32"/>
    <w:basedOn w:val="35"/>
    <w:next w:val="35"/>
    <w:autoRedefine/>
    <w:qFormat/>
    <w:uiPriority w:val="99"/>
    <w:pPr>
      <w:spacing w:line="546" w:lineRule="atLeast"/>
    </w:pPr>
    <w:rPr>
      <w:rFonts w:ascii="黑体" w:eastAsia="黑体" w:cs="黑体"/>
      <w:color w:val="auto"/>
    </w:rPr>
  </w:style>
  <w:style w:type="paragraph" w:customStyle="1" w:styleId="73">
    <w:name w:val="CM33"/>
    <w:basedOn w:val="35"/>
    <w:next w:val="35"/>
    <w:autoRedefine/>
    <w:qFormat/>
    <w:uiPriority w:val="99"/>
    <w:pPr>
      <w:spacing w:line="546" w:lineRule="atLeast"/>
    </w:pPr>
    <w:rPr>
      <w:rFonts w:ascii="黑体" w:eastAsia="黑体" w:cs="黑体"/>
      <w:color w:val="auto"/>
    </w:rPr>
  </w:style>
  <w:style w:type="paragraph" w:customStyle="1" w:styleId="74">
    <w:name w:val="CM34"/>
    <w:basedOn w:val="35"/>
    <w:next w:val="35"/>
    <w:autoRedefine/>
    <w:qFormat/>
    <w:uiPriority w:val="99"/>
    <w:pPr>
      <w:spacing w:line="546" w:lineRule="atLeast"/>
    </w:pPr>
    <w:rPr>
      <w:rFonts w:ascii="黑体" w:eastAsia="黑体" w:cs="黑体"/>
      <w:color w:val="auto"/>
    </w:rPr>
  </w:style>
  <w:style w:type="paragraph" w:customStyle="1" w:styleId="75">
    <w:name w:val="CM35"/>
    <w:basedOn w:val="35"/>
    <w:next w:val="35"/>
    <w:autoRedefine/>
    <w:qFormat/>
    <w:uiPriority w:val="99"/>
    <w:pPr>
      <w:spacing w:line="546" w:lineRule="atLeast"/>
    </w:pPr>
    <w:rPr>
      <w:rFonts w:ascii="黑体" w:eastAsia="黑体" w:cs="黑体"/>
      <w:color w:val="auto"/>
    </w:rPr>
  </w:style>
  <w:style w:type="paragraph" w:customStyle="1" w:styleId="76">
    <w:name w:val="CM36"/>
    <w:basedOn w:val="35"/>
    <w:next w:val="35"/>
    <w:autoRedefine/>
    <w:qFormat/>
    <w:uiPriority w:val="99"/>
    <w:pPr>
      <w:spacing w:line="546" w:lineRule="atLeast"/>
    </w:pPr>
    <w:rPr>
      <w:rFonts w:ascii="黑体" w:eastAsia="黑体" w:cs="黑体"/>
      <w:color w:val="auto"/>
    </w:rPr>
  </w:style>
  <w:style w:type="paragraph" w:customStyle="1" w:styleId="77">
    <w:name w:val="CM78"/>
    <w:basedOn w:val="35"/>
    <w:next w:val="35"/>
    <w:autoRedefine/>
    <w:qFormat/>
    <w:uiPriority w:val="99"/>
    <w:pPr>
      <w:spacing w:after="693"/>
    </w:pPr>
    <w:rPr>
      <w:rFonts w:ascii="黑体" w:eastAsia="黑体" w:cs="黑体"/>
      <w:color w:val="auto"/>
    </w:rPr>
  </w:style>
  <w:style w:type="paragraph" w:customStyle="1" w:styleId="78">
    <w:name w:val="CM37"/>
    <w:basedOn w:val="35"/>
    <w:next w:val="35"/>
    <w:autoRedefine/>
    <w:qFormat/>
    <w:uiPriority w:val="99"/>
    <w:pPr>
      <w:spacing w:line="546" w:lineRule="atLeast"/>
    </w:pPr>
    <w:rPr>
      <w:rFonts w:ascii="黑体" w:eastAsia="黑体" w:cs="黑体"/>
      <w:color w:val="auto"/>
    </w:rPr>
  </w:style>
  <w:style w:type="paragraph" w:customStyle="1" w:styleId="79">
    <w:name w:val="CM38"/>
    <w:basedOn w:val="35"/>
    <w:next w:val="35"/>
    <w:autoRedefine/>
    <w:qFormat/>
    <w:uiPriority w:val="99"/>
    <w:pPr>
      <w:spacing w:line="546" w:lineRule="atLeast"/>
    </w:pPr>
    <w:rPr>
      <w:rFonts w:ascii="黑体" w:eastAsia="黑体" w:cs="黑体"/>
      <w:color w:val="auto"/>
    </w:rPr>
  </w:style>
  <w:style w:type="paragraph" w:customStyle="1" w:styleId="80">
    <w:name w:val="CM40"/>
    <w:basedOn w:val="35"/>
    <w:next w:val="35"/>
    <w:autoRedefine/>
    <w:qFormat/>
    <w:uiPriority w:val="99"/>
    <w:pPr>
      <w:spacing w:line="546" w:lineRule="atLeast"/>
    </w:pPr>
    <w:rPr>
      <w:rFonts w:ascii="黑体" w:eastAsia="黑体" w:cs="黑体"/>
      <w:color w:val="auto"/>
    </w:rPr>
  </w:style>
  <w:style w:type="paragraph" w:customStyle="1" w:styleId="81">
    <w:name w:val="CM41"/>
    <w:basedOn w:val="35"/>
    <w:next w:val="35"/>
    <w:autoRedefine/>
    <w:qFormat/>
    <w:uiPriority w:val="99"/>
    <w:pPr>
      <w:spacing w:line="546" w:lineRule="atLeast"/>
    </w:pPr>
    <w:rPr>
      <w:rFonts w:ascii="黑体" w:eastAsia="黑体" w:cs="黑体"/>
      <w:color w:val="auto"/>
    </w:rPr>
  </w:style>
  <w:style w:type="paragraph" w:customStyle="1" w:styleId="82">
    <w:name w:val="CM42"/>
    <w:basedOn w:val="35"/>
    <w:next w:val="35"/>
    <w:autoRedefine/>
    <w:qFormat/>
    <w:uiPriority w:val="99"/>
    <w:pPr>
      <w:spacing w:line="546" w:lineRule="atLeast"/>
    </w:pPr>
    <w:rPr>
      <w:rFonts w:ascii="黑体" w:eastAsia="黑体" w:cs="黑体"/>
      <w:color w:val="auto"/>
    </w:rPr>
  </w:style>
  <w:style w:type="paragraph" w:customStyle="1" w:styleId="83">
    <w:name w:val="CM43"/>
    <w:basedOn w:val="35"/>
    <w:next w:val="35"/>
    <w:autoRedefine/>
    <w:qFormat/>
    <w:uiPriority w:val="99"/>
    <w:pPr>
      <w:spacing w:line="546" w:lineRule="atLeast"/>
    </w:pPr>
    <w:rPr>
      <w:rFonts w:ascii="黑体" w:eastAsia="黑体" w:cs="黑体"/>
      <w:color w:val="auto"/>
    </w:rPr>
  </w:style>
  <w:style w:type="paragraph" w:customStyle="1" w:styleId="84">
    <w:name w:val="CM75"/>
    <w:basedOn w:val="35"/>
    <w:next w:val="35"/>
    <w:autoRedefine/>
    <w:qFormat/>
    <w:uiPriority w:val="99"/>
    <w:pPr>
      <w:spacing w:after="368"/>
    </w:pPr>
    <w:rPr>
      <w:rFonts w:ascii="黑体" w:eastAsia="黑体" w:cs="黑体"/>
      <w:color w:val="auto"/>
    </w:rPr>
  </w:style>
  <w:style w:type="paragraph" w:customStyle="1" w:styleId="85">
    <w:name w:val="CM44"/>
    <w:basedOn w:val="35"/>
    <w:next w:val="35"/>
    <w:autoRedefine/>
    <w:qFormat/>
    <w:uiPriority w:val="99"/>
    <w:pPr>
      <w:spacing w:line="546" w:lineRule="atLeast"/>
    </w:pPr>
    <w:rPr>
      <w:rFonts w:ascii="黑体" w:eastAsia="黑体" w:cs="黑体"/>
      <w:color w:val="auto"/>
    </w:rPr>
  </w:style>
  <w:style w:type="paragraph" w:customStyle="1" w:styleId="86">
    <w:name w:val="CM45"/>
    <w:basedOn w:val="35"/>
    <w:next w:val="35"/>
    <w:autoRedefine/>
    <w:qFormat/>
    <w:uiPriority w:val="99"/>
    <w:pPr>
      <w:spacing w:line="546" w:lineRule="atLeast"/>
    </w:pPr>
    <w:rPr>
      <w:rFonts w:ascii="黑体" w:eastAsia="黑体" w:cs="黑体"/>
      <w:color w:val="auto"/>
    </w:rPr>
  </w:style>
  <w:style w:type="paragraph" w:customStyle="1" w:styleId="87">
    <w:name w:val="CM46"/>
    <w:basedOn w:val="35"/>
    <w:next w:val="35"/>
    <w:autoRedefine/>
    <w:qFormat/>
    <w:uiPriority w:val="99"/>
    <w:pPr>
      <w:spacing w:line="546" w:lineRule="atLeast"/>
    </w:pPr>
    <w:rPr>
      <w:rFonts w:ascii="黑体" w:eastAsia="黑体" w:cs="黑体"/>
      <w:color w:val="auto"/>
    </w:rPr>
  </w:style>
  <w:style w:type="paragraph" w:customStyle="1" w:styleId="88">
    <w:name w:val="CM47"/>
    <w:basedOn w:val="35"/>
    <w:next w:val="35"/>
    <w:autoRedefine/>
    <w:qFormat/>
    <w:uiPriority w:val="99"/>
    <w:pPr>
      <w:spacing w:line="546" w:lineRule="atLeast"/>
    </w:pPr>
    <w:rPr>
      <w:rFonts w:ascii="黑体" w:eastAsia="黑体" w:cs="黑体"/>
      <w:color w:val="auto"/>
    </w:rPr>
  </w:style>
  <w:style w:type="paragraph" w:customStyle="1" w:styleId="89">
    <w:name w:val="CM49"/>
    <w:basedOn w:val="35"/>
    <w:next w:val="35"/>
    <w:autoRedefine/>
    <w:qFormat/>
    <w:uiPriority w:val="99"/>
    <w:pPr>
      <w:spacing w:line="546" w:lineRule="atLeast"/>
    </w:pPr>
    <w:rPr>
      <w:rFonts w:ascii="黑体" w:eastAsia="黑体" w:cs="黑体"/>
      <w:color w:val="auto"/>
    </w:rPr>
  </w:style>
  <w:style w:type="paragraph" w:customStyle="1" w:styleId="90">
    <w:name w:val="CM50"/>
    <w:basedOn w:val="35"/>
    <w:next w:val="35"/>
    <w:autoRedefine/>
    <w:qFormat/>
    <w:uiPriority w:val="99"/>
    <w:pPr>
      <w:spacing w:line="546" w:lineRule="atLeast"/>
    </w:pPr>
    <w:rPr>
      <w:rFonts w:ascii="黑体" w:eastAsia="黑体" w:cs="黑体"/>
      <w:color w:val="auto"/>
    </w:rPr>
  </w:style>
  <w:style w:type="paragraph" w:customStyle="1" w:styleId="91">
    <w:name w:val="CM51"/>
    <w:basedOn w:val="35"/>
    <w:next w:val="35"/>
    <w:autoRedefine/>
    <w:qFormat/>
    <w:uiPriority w:val="99"/>
    <w:pPr>
      <w:spacing w:line="543" w:lineRule="atLeast"/>
    </w:pPr>
    <w:rPr>
      <w:rFonts w:ascii="黑体" w:eastAsia="黑体" w:cs="黑体"/>
      <w:color w:val="auto"/>
    </w:rPr>
  </w:style>
  <w:style w:type="paragraph" w:customStyle="1" w:styleId="92">
    <w:name w:val="CM52"/>
    <w:basedOn w:val="35"/>
    <w:next w:val="35"/>
    <w:autoRedefine/>
    <w:qFormat/>
    <w:uiPriority w:val="99"/>
    <w:pPr>
      <w:spacing w:line="546" w:lineRule="atLeast"/>
    </w:pPr>
    <w:rPr>
      <w:rFonts w:ascii="黑体" w:eastAsia="黑体" w:cs="黑体"/>
      <w:color w:val="auto"/>
    </w:rPr>
  </w:style>
  <w:style w:type="paragraph" w:customStyle="1" w:styleId="93">
    <w:name w:val="CM53"/>
    <w:basedOn w:val="35"/>
    <w:next w:val="35"/>
    <w:autoRedefine/>
    <w:qFormat/>
    <w:uiPriority w:val="99"/>
    <w:pPr>
      <w:spacing w:line="546" w:lineRule="atLeast"/>
    </w:pPr>
    <w:rPr>
      <w:rFonts w:ascii="黑体" w:eastAsia="黑体" w:cs="黑体"/>
      <w:color w:val="auto"/>
    </w:rPr>
  </w:style>
  <w:style w:type="paragraph" w:customStyle="1" w:styleId="94">
    <w:name w:val="CM54"/>
    <w:basedOn w:val="35"/>
    <w:next w:val="35"/>
    <w:autoRedefine/>
    <w:qFormat/>
    <w:uiPriority w:val="99"/>
    <w:pPr>
      <w:spacing w:line="546" w:lineRule="atLeast"/>
    </w:pPr>
    <w:rPr>
      <w:rFonts w:ascii="黑体" w:eastAsia="黑体" w:cs="黑体"/>
      <w:color w:val="auto"/>
    </w:rPr>
  </w:style>
  <w:style w:type="paragraph" w:customStyle="1" w:styleId="95">
    <w:name w:val="CM55"/>
    <w:basedOn w:val="35"/>
    <w:next w:val="35"/>
    <w:autoRedefine/>
    <w:qFormat/>
    <w:uiPriority w:val="99"/>
    <w:pPr>
      <w:spacing w:line="546" w:lineRule="atLeast"/>
    </w:pPr>
    <w:rPr>
      <w:rFonts w:ascii="黑体" w:eastAsia="黑体" w:cs="黑体"/>
      <w:color w:val="auto"/>
    </w:rPr>
  </w:style>
  <w:style w:type="paragraph" w:customStyle="1" w:styleId="96">
    <w:name w:val="CM56"/>
    <w:basedOn w:val="35"/>
    <w:next w:val="35"/>
    <w:autoRedefine/>
    <w:qFormat/>
    <w:uiPriority w:val="99"/>
    <w:pPr>
      <w:spacing w:line="546" w:lineRule="atLeast"/>
    </w:pPr>
    <w:rPr>
      <w:rFonts w:ascii="黑体" w:eastAsia="黑体" w:cs="黑体"/>
      <w:color w:val="auto"/>
    </w:rPr>
  </w:style>
  <w:style w:type="paragraph" w:customStyle="1" w:styleId="97">
    <w:name w:val="CM57"/>
    <w:basedOn w:val="35"/>
    <w:next w:val="35"/>
    <w:autoRedefine/>
    <w:qFormat/>
    <w:uiPriority w:val="99"/>
    <w:pPr>
      <w:spacing w:line="546" w:lineRule="atLeast"/>
    </w:pPr>
    <w:rPr>
      <w:rFonts w:ascii="黑体" w:eastAsia="黑体" w:cs="黑体"/>
      <w:color w:val="auto"/>
    </w:rPr>
  </w:style>
  <w:style w:type="paragraph" w:customStyle="1" w:styleId="98">
    <w:name w:val="CM58"/>
    <w:basedOn w:val="35"/>
    <w:next w:val="35"/>
    <w:autoRedefine/>
    <w:qFormat/>
    <w:uiPriority w:val="99"/>
    <w:pPr>
      <w:spacing w:line="543" w:lineRule="atLeast"/>
    </w:pPr>
    <w:rPr>
      <w:rFonts w:ascii="黑体" w:eastAsia="黑体" w:cs="黑体"/>
      <w:color w:val="auto"/>
    </w:rPr>
  </w:style>
  <w:style w:type="paragraph" w:customStyle="1" w:styleId="99">
    <w:name w:val="CM59"/>
    <w:basedOn w:val="35"/>
    <w:next w:val="35"/>
    <w:autoRedefine/>
    <w:qFormat/>
    <w:uiPriority w:val="99"/>
    <w:pPr>
      <w:spacing w:line="546" w:lineRule="atLeast"/>
    </w:pPr>
    <w:rPr>
      <w:rFonts w:ascii="黑体" w:eastAsia="黑体" w:cs="黑体"/>
      <w:color w:val="auto"/>
    </w:rPr>
  </w:style>
  <w:style w:type="paragraph" w:customStyle="1" w:styleId="100">
    <w:name w:val="CM60"/>
    <w:basedOn w:val="35"/>
    <w:next w:val="35"/>
    <w:autoRedefine/>
    <w:qFormat/>
    <w:uiPriority w:val="99"/>
    <w:pPr>
      <w:spacing w:line="546" w:lineRule="atLeast"/>
    </w:pPr>
    <w:rPr>
      <w:rFonts w:ascii="黑体" w:eastAsia="黑体" w:cs="黑体"/>
      <w:color w:val="auto"/>
    </w:rPr>
  </w:style>
  <w:style w:type="paragraph" w:customStyle="1" w:styleId="101">
    <w:name w:val="CM61"/>
    <w:basedOn w:val="35"/>
    <w:next w:val="35"/>
    <w:autoRedefine/>
    <w:qFormat/>
    <w:uiPriority w:val="99"/>
    <w:pPr>
      <w:spacing w:line="546" w:lineRule="atLeast"/>
    </w:pPr>
    <w:rPr>
      <w:rFonts w:ascii="黑体" w:eastAsia="黑体" w:cs="黑体"/>
      <w:color w:val="auto"/>
    </w:rPr>
  </w:style>
  <w:style w:type="paragraph" w:customStyle="1" w:styleId="102">
    <w:name w:val="CM62"/>
    <w:basedOn w:val="35"/>
    <w:next w:val="35"/>
    <w:autoRedefine/>
    <w:qFormat/>
    <w:uiPriority w:val="99"/>
    <w:pPr>
      <w:spacing w:line="546" w:lineRule="atLeast"/>
    </w:pPr>
    <w:rPr>
      <w:rFonts w:ascii="黑体" w:eastAsia="黑体" w:cs="黑体"/>
      <w:color w:val="auto"/>
    </w:rPr>
  </w:style>
  <w:style w:type="paragraph" w:customStyle="1" w:styleId="103">
    <w:name w:val="CM63"/>
    <w:basedOn w:val="35"/>
    <w:next w:val="35"/>
    <w:autoRedefine/>
    <w:qFormat/>
    <w:uiPriority w:val="99"/>
    <w:pPr>
      <w:spacing w:line="546" w:lineRule="atLeast"/>
    </w:pPr>
    <w:rPr>
      <w:rFonts w:ascii="黑体" w:eastAsia="黑体" w:cs="黑体"/>
      <w:color w:val="auto"/>
    </w:rPr>
  </w:style>
  <w:style w:type="paragraph" w:customStyle="1" w:styleId="104">
    <w:name w:val="CM64"/>
    <w:basedOn w:val="35"/>
    <w:next w:val="35"/>
    <w:autoRedefine/>
    <w:qFormat/>
    <w:uiPriority w:val="99"/>
    <w:pPr>
      <w:spacing w:line="546" w:lineRule="atLeast"/>
    </w:pPr>
    <w:rPr>
      <w:rFonts w:ascii="黑体" w:eastAsia="黑体" w:cs="黑体"/>
      <w:color w:val="auto"/>
    </w:rPr>
  </w:style>
  <w:style w:type="paragraph" w:customStyle="1" w:styleId="105">
    <w:name w:val="CM65"/>
    <w:basedOn w:val="35"/>
    <w:next w:val="35"/>
    <w:autoRedefine/>
    <w:qFormat/>
    <w:uiPriority w:val="99"/>
    <w:pPr>
      <w:spacing w:line="546" w:lineRule="atLeast"/>
    </w:pPr>
    <w:rPr>
      <w:rFonts w:ascii="黑体" w:eastAsia="黑体" w:cs="黑体"/>
      <w:color w:val="auto"/>
    </w:rPr>
  </w:style>
  <w:style w:type="paragraph" w:customStyle="1" w:styleId="106">
    <w:name w:val="CM66"/>
    <w:basedOn w:val="35"/>
    <w:next w:val="35"/>
    <w:autoRedefine/>
    <w:qFormat/>
    <w:uiPriority w:val="99"/>
    <w:pPr>
      <w:spacing w:line="546" w:lineRule="atLeast"/>
    </w:pPr>
    <w:rPr>
      <w:rFonts w:ascii="黑体" w:eastAsia="黑体" w:cs="黑体"/>
      <w:color w:val="auto"/>
    </w:rPr>
  </w:style>
  <w:style w:type="paragraph" w:customStyle="1" w:styleId="107">
    <w:name w:val="CM67"/>
    <w:basedOn w:val="35"/>
    <w:next w:val="35"/>
    <w:autoRedefine/>
    <w:qFormat/>
    <w:uiPriority w:val="99"/>
    <w:pPr>
      <w:spacing w:line="546" w:lineRule="atLeast"/>
    </w:pPr>
    <w:rPr>
      <w:rFonts w:ascii="黑体" w:eastAsia="黑体" w:cs="黑体"/>
      <w:color w:val="auto"/>
    </w:rPr>
  </w:style>
  <w:style w:type="paragraph" w:customStyle="1" w:styleId="108">
    <w:name w:val="CM76"/>
    <w:basedOn w:val="35"/>
    <w:next w:val="35"/>
    <w:autoRedefine/>
    <w:qFormat/>
    <w:uiPriority w:val="99"/>
    <w:pPr>
      <w:spacing w:after="308"/>
    </w:pPr>
    <w:rPr>
      <w:rFonts w:ascii="黑体" w:eastAsia="黑体" w:cs="黑体"/>
      <w:color w:val="auto"/>
    </w:rPr>
  </w:style>
  <w:style w:type="paragraph" w:customStyle="1" w:styleId="109">
    <w:name w:val="CM39"/>
    <w:basedOn w:val="35"/>
    <w:next w:val="35"/>
    <w:autoRedefine/>
    <w:qFormat/>
    <w:uiPriority w:val="99"/>
    <w:pPr>
      <w:spacing w:line="546" w:lineRule="atLeast"/>
    </w:pPr>
    <w:rPr>
      <w:rFonts w:ascii="黑体" w:eastAsia="黑体" w:cs="黑体"/>
      <w:color w:val="auto"/>
    </w:rPr>
  </w:style>
  <w:style w:type="paragraph" w:customStyle="1" w:styleId="110">
    <w:name w:val="CM68"/>
    <w:basedOn w:val="35"/>
    <w:next w:val="35"/>
    <w:autoRedefine/>
    <w:qFormat/>
    <w:uiPriority w:val="99"/>
    <w:pPr>
      <w:spacing w:line="546" w:lineRule="atLeast"/>
    </w:pPr>
    <w:rPr>
      <w:rFonts w:ascii="黑体" w:eastAsia="黑体" w:cs="黑体"/>
      <w:color w:val="auto"/>
    </w:rPr>
  </w:style>
  <w:style w:type="paragraph" w:customStyle="1" w:styleId="111">
    <w:name w:val="CM69"/>
    <w:basedOn w:val="35"/>
    <w:next w:val="35"/>
    <w:autoRedefine/>
    <w:qFormat/>
    <w:uiPriority w:val="99"/>
    <w:pPr>
      <w:spacing w:line="546" w:lineRule="atLeast"/>
    </w:pPr>
    <w:rPr>
      <w:rFonts w:ascii="黑体" w:eastAsia="黑体" w:cs="黑体"/>
      <w:color w:val="auto"/>
    </w:rPr>
  </w:style>
  <w:style w:type="character" w:customStyle="1" w:styleId="112">
    <w:name w:val="正文文本缩进 2 字符"/>
    <w:basedOn w:val="23"/>
    <w:link w:val="12"/>
    <w:autoRedefine/>
    <w:qFormat/>
    <w:uiPriority w:val="99"/>
    <w:rPr>
      <w:rFonts w:ascii="Times New Roman" w:hAnsi="Times New Roman" w:eastAsia="宋体" w:cs="Times New Roman"/>
      <w:color w:val="FF0000"/>
      <w:kern w:val="0"/>
      <w:sz w:val="20"/>
      <w:szCs w:val="20"/>
    </w:rPr>
  </w:style>
  <w:style w:type="paragraph" w:customStyle="1" w:styleId="113">
    <w:name w:val="c_"/>
    <w:autoRedefine/>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character" w:customStyle="1" w:styleId="114">
    <w:name w:val="正文文本 3 字符"/>
    <w:basedOn w:val="23"/>
    <w:link w:val="9"/>
    <w:autoRedefine/>
    <w:qFormat/>
    <w:uiPriority w:val="99"/>
    <w:rPr>
      <w:rFonts w:ascii="Times New Roman" w:hAnsi="Times New Roman" w:eastAsia="宋体" w:cs="Times New Roman"/>
      <w:i/>
      <w:iCs/>
      <w:color w:val="0000FF"/>
      <w:kern w:val="0"/>
      <w:sz w:val="20"/>
      <w:szCs w:val="20"/>
    </w:rPr>
  </w:style>
  <w:style w:type="character" w:customStyle="1" w:styleId="115">
    <w:name w:val="正文文本 字符"/>
    <w:basedOn w:val="23"/>
    <w:link w:val="10"/>
    <w:autoRedefine/>
    <w:qFormat/>
    <w:uiPriority w:val="99"/>
    <w:rPr>
      <w:rFonts w:ascii="Times New Roman" w:hAnsi="Times New Roman" w:eastAsia="宋体" w:cs="Times New Roman"/>
      <w:color w:val="FF0000"/>
      <w:kern w:val="0"/>
      <w:sz w:val="20"/>
      <w:szCs w:val="20"/>
    </w:rPr>
  </w:style>
  <w:style w:type="character" w:customStyle="1" w:styleId="116">
    <w:name w:val="正文文本缩进 3 字符"/>
    <w:basedOn w:val="23"/>
    <w:link w:val="17"/>
    <w:autoRedefine/>
    <w:qFormat/>
    <w:uiPriority w:val="99"/>
    <w:rPr>
      <w:rFonts w:ascii="Times New Roman" w:hAnsi="Times New Roman" w:eastAsia="宋体" w:cs="Times New Roman"/>
      <w:kern w:val="0"/>
      <w:sz w:val="16"/>
      <w:szCs w:val="16"/>
    </w:rPr>
  </w:style>
  <w:style w:type="paragraph" w:customStyle="1" w:styleId="117">
    <w:name w:val="Char Char Char"/>
    <w:basedOn w:val="1"/>
    <w:autoRedefine/>
    <w:qFormat/>
    <w:uiPriority w:val="99"/>
  </w:style>
  <w:style w:type="character" w:customStyle="1" w:styleId="118">
    <w:name w:val="批注文字 字符"/>
    <w:basedOn w:val="23"/>
    <w:link w:val="8"/>
    <w:autoRedefine/>
    <w:semiHidden/>
    <w:qFormat/>
    <w:uiPriority w:val="99"/>
    <w:rPr>
      <w:rFonts w:ascii="Times New Roman" w:hAnsi="Times New Roman" w:eastAsia="宋体" w:cs="Times New Roman"/>
      <w:kern w:val="0"/>
      <w:szCs w:val="21"/>
    </w:rPr>
  </w:style>
  <w:style w:type="character" w:customStyle="1" w:styleId="119">
    <w:name w:val="批注主题 字符"/>
    <w:basedOn w:val="118"/>
    <w:link w:val="21"/>
    <w:autoRedefine/>
    <w:semiHidden/>
    <w:qFormat/>
    <w:uiPriority w:val="99"/>
    <w:rPr>
      <w:rFonts w:ascii="Times New Roman" w:hAnsi="Times New Roman" w:eastAsia="宋体" w:cs="Times New Roman"/>
      <w:b/>
      <w:bCs/>
      <w:kern w:val="0"/>
      <w:szCs w:val="21"/>
    </w:rPr>
  </w:style>
  <w:style w:type="character" w:customStyle="1" w:styleId="120">
    <w:name w:val="批注框文本 字符"/>
    <w:basedOn w:val="23"/>
    <w:link w:val="13"/>
    <w:autoRedefine/>
    <w:semiHidden/>
    <w:qFormat/>
    <w:uiPriority w:val="99"/>
    <w:rPr>
      <w:rFonts w:ascii="Times New Roman" w:hAnsi="Times New Roman" w:eastAsia="宋体" w:cs="Times New Roman"/>
      <w:kern w:val="0"/>
      <w:sz w:val="32"/>
      <w:szCs w:val="2"/>
    </w:rPr>
  </w:style>
  <w:style w:type="paragraph" w:customStyle="1" w:styleId="121">
    <w:name w:val="Char Char Char Char Char Char1 Char Char Char"/>
    <w:basedOn w:val="1"/>
    <w:autoRedefine/>
    <w:qFormat/>
    <w:uiPriority w:val="99"/>
    <w:pPr>
      <w:autoSpaceDE w:val="0"/>
      <w:autoSpaceDN w:val="0"/>
      <w:adjustRightInd w:val="0"/>
      <w:jc w:val="left"/>
      <w:textAlignment w:val="baseline"/>
    </w:pPr>
    <w:rPr>
      <w:rFonts w:eastAsia="方正仿宋简体"/>
      <w:sz w:val="32"/>
      <w:szCs w:val="32"/>
    </w:rPr>
  </w:style>
  <w:style w:type="character" w:customStyle="1" w:styleId="122">
    <w:name w:val="标题 字符"/>
    <w:basedOn w:val="23"/>
    <w:link w:val="20"/>
    <w:autoRedefine/>
    <w:qFormat/>
    <w:uiPriority w:val="99"/>
    <w:rPr>
      <w:rFonts w:ascii="Cambria" w:hAnsi="Cambria" w:eastAsia="宋体" w:cs="Times New Roman"/>
      <w:b/>
      <w:bCs/>
      <w:kern w:val="0"/>
      <w:sz w:val="32"/>
      <w:szCs w:val="32"/>
    </w:rPr>
  </w:style>
  <w:style w:type="character" w:customStyle="1" w:styleId="123">
    <w:name w:val="纯文本 字符"/>
    <w:basedOn w:val="23"/>
    <w:link w:val="11"/>
    <w:autoRedefine/>
    <w:qFormat/>
    <w:uiPriority w:val="99"/>
    <w:rPr>
      <w:rFonts w:ascii="宋体" w:hAnsi="Courier New" w:eastAsia="宋体" w:cs="Times New Roman"/>
      <w:kern w:val="0"/>
      <w:szCs w:val="21"/>
    </w:rPr>
  </w:style>
  <w:style w:type="paragraph" w:customStyle="1" w:styleId="124">
    <w:name w:val="Body copy"/>
    <w:autoRedefine/>
    <w:qFormat/>
    <w:uiPriority w:val="99"/>
    <w:pPr>
      <w:spacing w:before="20" w:line="210" w:lineRule="exact"/>
    </w:pPr>
    <w:rPr>
      <w:rFonts w:ascii="Arial" w:hAnsi="Arial" w:eastAsia="PMingLiU" w:cs="Arial"/>
      <w:color w:val="000000"/>
      <w:sz w:val="17"/>
      <w:szCs w:val="17"/>
      <w:lang w:val="en-US" w:eastAsia="en-US" w:bidi="ar-SA"/>
    </w:rPr>
  </w:style>
  <w:style w:type="paragraph" w:customStyle="1" w:styleId="125">
    <w:name w:val="Table Paragraph"/>
    <w:basedOn w:val="1"/>
    <w:autoRedefine/>
    <w:qFormat/>
    <w:uiPriority w:val="99"/>
    <w:pPr>
      <w:jc w:val="left"/>
    </w:pPr>
    <w:rPr>
      <w:rFonts w:ascii="Calibri" w:hAnsi="Calibri" w:cs="Calibri"/>
      <w:kern w:val="0"/>
      <w:sz w:val="22"/>
      <w:szCs w:val="22"/>
      <w:lang w:eastAsia="en-US"/>
    </w:rPr>
  </w:style>
  <w:style w:type="paragraph" w:customStyle="1" w:styleId="126">
    <w:name w:val="列出段落1"/>
    <w:basedOn w:val="1"/>
    <w:autoRedefine/>
    <w:qFormat/>
    <w:uiPriority w:val="99"/>
    <w:pPr>
      <w:ind w:firstLine="420" w:firstLineChars="200"/>
    </w:pPr>
    <w:rPr>
      <w:rFonts w:ascii="Calibri" w:hAnsi="Calibri" w:cs="Calibri"/>
    </w:rPr>
  </w:style>
  <w:style w:type="character" w:customStyle="1" w:styleId="127">
    <w:name w:val="Char Char7"/>
    <w:autoRedefine/>
    <w:qFormat/>
    <w:uiPriority w:val="99"/>
    <w:rPr>
      <w:rFonts w:ascii="宋体" w:hAnsi="Courier New" w:eastAsia="宋体" w:cs="宋体"/>
      <w:sz w:val="20"/>
      <w:szCs w:val="20"/>
    </w:rPr>
  </w:style>
  <w:style w:type="paragraph" w:customStyle="1" w:styleId="128">
    <w:name w:val="Char Char Char Char"/>
    <w:basedOn w:val="1"/>
    <w:autoRedefine/>
    <w:qFormat/>
    <w:uiPriority w:val="99"/>
  </w:style>
  <w:style w:type="character" w:customStyle="1" w:styleId="129">
    <w:name w:val="Char Char4"/>
    <w:autoRedefine/>
    <w:qFormat/>
    <w:uiPriority w:val="99"/>
    <w:rPr>
      <w:rFonts w:ascii="Times New Roman" w:hAnsi="Times New Roman" w:eastAsia="宋体" w:cs="Times New Roman"/>
      <w:sz w:val="18"/>
      <w:szCs w:val="18"/>
    </w:rPr>
  </w:style>
  <w:style w:type="character" w:customStyle="1" w:styleId="130">
    <w:name w:val="font21"/>
    <w:autoRedefine/>
    <w:qFormat/>
    <w:uiPriority w:val="0"/>
    <w:rPr>
      <w:rFonts w:hint="eastAsia" w:ascii="宋体" w:hAnsi="宋体" w:eastAsia="宋体"/>
      <w:i/>
      <w:iCs/>
      <w:color w:val="003366"/>
      <w:sz w:val="18"/>
      <w:szCs w:val="18"/>
      <w:u w:val="none"/>
    </w:rPr>
  </w:style>
  <w:style w:type="character" w:customStyle="1" w:styleId="131">
    <w:name w:val="font01"/>
    <w:autoRedefine/>
    <w:qFormat/>
    <w:uiPriority w:val="0"/>
    <w:rPr>
      <w:rFonts w:hint="eastAsia" w:ascii="宋体" w:hAnsi="宋体" w:eastAsia="宋体"/>
      <w:color w:val="000000"/>
      <w:sz w:val="18"/>
      <w:szCs w:val="18"/>
      <w:u w:val="none"/>
    </w:rPr>
  </w:style>
  <w:style w:type="paragraph" w:customStyle="1" w:styleId="132">
    <w:name w:val="Char Char Char Char1"/>
    <w:basedOn w:val="1"/>
    <w:autoRedefine/>
    <w:qFormat/>
    <w:uiPriority w:val="0"/>
    <w:rPr>
      <w:rFonts w:ascii="Tahoma" w:hAnsi="Tahoma"/>
      <w:sz w:val="24"/>
      <w:szCs w:val="24"/>
    </w:rPr>
  </w:style>
  <w:style w:type="character" w:customStyle="1" w:styleId="133">
    <w:name w:val="文档结构图 字符"/>
    <w:basedOn w:val="23"/>
    <w:link w:val="7"/>
    <w:autoRedefine/>
    <w:semiHidden/>
    <w:qFormat/>
    <w:uiPriority w:val="0"/>
    <w:rPr>
      <w:rFonts w:ascii="Times New Roman" w:hAnsi="Times New Roman" w:eastAsia="宋体" w:cs="Times New Roman"/>
      <w:szCs w:val="21"/>
      <w:shd w:val="clear" w:color="auto" w:fill="000080"/>
    </w:rPr>
  </w:style>
  <w:style w:type="character" w:customStyle="1" w:styleId="134">
    <w:name w:val="Title Char"/>
    <w:autoRedefine/>
    <w:qFormat/>
    <w:locked/>
    <w:uiPriority w:val="0"/>
    <w:rPr>
      <w:rFonts w:ascii="Cambria" w:hAnsi="Cambria" w:eastAsia="宋体"/>
      <w:b/>
      <w:sz w:val="32"/>
    </w:rPr>
  </w:style>
  <w:style w:type="paragraph" w:styleId="135">
    <w:name w:val="List Paragraph"/>
    <w:basedOn w:val="1"/>
    <w:autoRedefine/>
    <w:qFormat/>
    <w:uiPriority w:val="34"/>
    <w:pPr>
      <w:ind w:firstLine="420" w:firstLineChars="200"/>
    </w:pPr>
  </w:style>
  <w:style w:type="character" w:customStyle="1" w:styleId="136">
    <w:name w:val="font31"/>
    <w:basedOn w:val="23"/>
    <w:autoRedefine/>
    <w:qFormat/>
    <w:uiPriority w:val="0"/>
    <w:rPr>
      <w:rFonts w:hint="eastAsia" w:ascii="宋体" w:hAnsi="宋体" w:eastAsia="宋体" w:cs="宋体"/>
      <w:b/>
      <w:bCs/>
      <w:color w:val="000000"/>
      <w:sz w:val="21"/>
      <w:szCs w:val="21"/>
      <w:u w:val="none"/>
    </w:rPr>
  </w:style>
  <w:style w:type="character" w:customStyle="1" w:styleId="137">
    <w:name w:val="font51"/>
    <w:basedOn w:val="23"/>
    <w:autoRedefine/>
    <w:qFormat/>
    <w:uiPriority w:val="0"/>
    <w:rPr>
      <w:rFonts w:hint="default" w:ascii="Times New Roman" w:hAnsi="Times New Roman" w:cs="Times New Roman"/>
      <w:color w:val="000000"/>
      <w:sz w:val="21"/>
      <w:szCs w:val="21"/>
      <w:u w:val="none"/>
    </w:rPr>
  </w:style>
  <w:style w:type="character" w:customStyle="1" w:styleId="138">
    <w:name w:val="font11"/>
    <w:basedOn w:val="23"/>
    <w:autoRedefine/>
    <w:qFormat/>
    <w:uiPriority w:val="0"/>
    <w:rPr>
      <w:rFonts w:hint="eastAsia" w:ascii="宋体" w:hAnsi="宋体" w:eastAsia="宋体" w:cs="宋体"/>
      <w:color w:val="000000"/>
      <w:sz w:val="18"/>
      <w:szCs w:val="18"/>
      <w:u w:val="none"/>
    </w:rPr>
  </w:style>
  <w:style w:type="character" w:customStyle="1" w:styleId="139">
    <w:name w:val="font41"/>
    <w:basedOn w:val="2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DC048-7761-48AE-A00E-DA627481E59F}">
  <ds:schemaRefs/>
</ds:datastoreItem>
</file>

<file path=docProps/app.xml><?xml version="1.0" encoding="utf-8"?>
<Properties xmlns="http://schemas.openxmlformats.org/officeDocument/2006/extended-properties" xmlns:vt="http://schemas.openxmlformats.org/officeDocument/2006/docPropsVTypes">
  <Template>Normal</Template>
  <Pages>39</Pages>
  <Words>10489</Words>
  <Characters>10872</Characters>
  <Lines>1</Lines>
  <Paragraphs>1</Paragraphs>
  <TotalTime>0</TotalTime>
  <ScaleCrop>false</ScaleCrop>
  <LinksUpToDate>false</LinksUpToDate>
  <CharactersWithSpaces>11019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2017-06-13T01:11:00Z</dcterms:created>
  <dc:creator>User</dc:creator>
  <cp:lastModifiedBy>舜丰王博</cp:lastModifiedBy>
  <cp:lastPrinted>2025-04-18T06:04:00Z</cp:lastPrinted>
  <dcterms:modified xsi:type="dcterms:W3CDTF">2025-04-30T08:14:13Z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1453AAB3BD0D498DAFDD58C31BB7EBBB_13</vt:lpwstr>
  </property>
  <property fmtid="{D5CDD505-2E9C-101B-9397-08002B2CF9AE}" pid="4" name="KSOTemplateDocerSaveRecord">
    <vt:lpwstr>eyJoZGlkIjoiZGY4NGU1N2QyOTNiMTE0Y2Y1YTU5ZjMxYTUzOTY4NzUiLCJ1c2VySWQiOiI1MzMyNjY0NTIifQ==</vt:lpwstr>
  </property>
</Properties>
</file>